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311899">
      <w:pPr>
        <w:jc w:val="center"/>
        <w:rPr>
          <w:rFonts w:hint="eastAsia"/>
          <w:b/>
          <w:bCs/>
          <w:sz w:val="36"/>
          <w:szCs w:val="36"/>
          <w:lang w:val="en-US" w:eastAsia="zh-CN"/>
        </w:rPr>
      </w:pPr>
      <w:bookmarkStart w:id="1" w:name="_GoBack"/>
      <w:bookmarkStart w:id="0" w:name="OLE_LINK1"/>
      <w:r>
        <w:rPr>
          <w:rFonts w:hint="eastAsia"/>
          <w:b/>
          <w:bCs/>
          <w:sz w:val="36"/>
          <w:szCs w:val="36"/>
          <w:lang w:val="en-US" w:eastAsia="zh-CN"/>
        </w:rPr>
        <w:t>惠州市第二人民医院检验项目外送服务需求</w:t>
      </w:r>
      <w:bookmarkEnd w:id="0"/>
    </w:p>
    <w:bookmarkEnd w:id="1"/>
    <w:p w14:paraId="5507C018">
      <w:pPr>
        <w:rPr>
          <w:rFonts w:hint="default"/>
          <w:b/>
          <w:bCs/>
          <w:sz w:val="28"/>
          <w:szCs w:val="28"/>
          <w:lang w:val="en-US" w:eastAsia="zh-CN"/>
        </w:rPr>
      </w:pPr>
      <w:r>
        <w:rPr>
          <w:rFonts w:hint="eastAsia"/>
          <w:b/>
          <w:bCs/>
          <w:sz w:val="28"/>
          <w:szCs w:val="28"/>
          <w:lang w:val="en-US" w:eastAsia="zh-CN"/>
        </w:rPr>
        <w:t>1.项目需求：（能提供包括并不限于以下检验项目检测服务）</w:t>
      </w:r>
    </w:p>
    <w:p w14:paraId="10E821E8">
      <w:pPr>
        <w:rPr>
          <w:rFonts w:hint="eastAsia"/>
        </w:rPr>
      </w:pPr>
      <w:r>
        <w:rPr>
          <w:rFonts w:hint="eastAsia"/>
        </w:rPr>
        <w:t>外送-乙肝5项(酶联免疫吸附法)</w:t>
      </w:r>
    </w:p>
    <w:p w14:paraId="7C62FDD2">
      <w:pPr>
        <w:rPr>
          <w:rFonts w:hint="eastAsia"/>
          <w:color w:val="0000FF"/>
          <w:lang w:val="en-US" w:eastAsia="zh-CN"/>
        </w:rPr>
      </w:pPr>
      <w:r>
        <w:rPr>
          <w:rFonts w:hint="eastAsia"/>
          <w:color w:val="0000FF"/>
          <w:lang w:val="en-US" w:eastAsia="zh-CN"/>
        </w:rPr>
        <w:t>外送</w:t>
      </w:r>
      <w:r>
        <w:rPr>
          <w:rFonts w:hint="eastAsia"/>
          <w:color w:val="0000FF"/>
        </w:rPr>
        <w:t>-</w:t>
      </w:r>
      <w:r>
        <w:rPr>
          <w:rFonts w:hint="eastAsia"/>
          <w:color w:val="0000FF"/>
          <w:lang w:val="en-US" w:eastAsia="zh-CN"/>
        </w:rPr>
        <w:t>丙肝病毒抗体（酶联免疫吸附法）</w:t>
      </w:r>
    </w:p>
    <w:p w14:paraId="2827FC95">
      <w:pPr>
        <w:rPr>
          <w:rFonts w:hint="eastAsia"/>
          <w:color w:val="0000FF"/>
          <w:lang w:val="en-US" w:eastAsia="zh-CN"/>
        </w:rPr>
      </w:pPr>
      <w:r>
        <w:rPr>
          <w:rFonts w:hint="eastAsia"/>
          <w:color w:val="0000FF"/>
          <w:lang w:val="en-US" w:eastAsia="zh-CN"/>
        </w:rPr>
        <w:t>外送</w:t>
      </w:r>
      <w:r>
        <w:rPr>
          <w:rFonts w:hint="eastAsia"/>
          <w:color w:val="0000FF"/>
        </w:rPr>
        <w:t>-</w:t>
      </w:r>
      <w:r>
        <w:rPr>
          <w:rFonts w:hint="eastAsia"/>
          <w:color w:val="0000FF"/>
          <w:lang w:eastAsia="zh-CN"/>
        </w:rPr>
        <w:t>梅毒特异性抗体（</w:t>
      </w:r>
      <w:r>
        <w:rPr>
          <w:rFonts w:hint="eastAsia"/>
          <w:color w:val="0000FF"/>
          <w:lang w:val="en-US" w:eastAsia="zh-CN"/>
        </w:rPr>
        <w:t>TPPA)</w:t>
      </w:r>
    </w:p>
    <w:p w14:paraId="320114CE">
      <w:pPr>
        <w:rPr>
          <w:rFonts w:hint="eastAsia"/>
          <w:color w:val="0000FF"/>
          <w:lang w:val="en-US" w:eastAsia="zh-CN"/>
        </w:rPr>
      </w:pPr>
      <w:r>
        <w:rPr>
          <w:rFonts w:hint="eastAsia"/>
          <w:color w:val="0000FF"/>
          <w:lang w:val="en-US" w:eastAsia="zh-CN"/>
        </w:rPr>
        <w:t>外送</w:t>
      </w:r>
      <w:r>
        <w:rPr>
          <w:rFonts w:hint="eastAsia"/>
          <w:color w:val="0000FF"/>
        </w:rPr>
        <w:t>-</w:t>
      </w:r>
      <w:r>
        <w:rPr>
          <w:rFonts w:hint="eastAsia"/>
          <w:color w:val="0000FF"/>
          <w:lang w:val="en-US" w:eastAsia="zh-CN"/>
        </w:rPr>
        <w:t>HIV病毒抗原抗体（酶联免疫分析法）</w:t>
      </w:r>
    </w:p>
    <w:p w14:paraId="5ED61D16">
      <w:pPr>
        <w:rPr>
          <w:rFonts w:hint="eastAsia"/>
          <w:color w:val="0000FF"/>
          <w:lang w:val="en-US" w:eastAsia="zh-CN"/>
        </w:rPr>
      </w:pPr>
      <w:r>
        <w:rPr>
          <w:rFonts w:hint="eastAsia"/>
          <w:color w:val="0000FF"/>
          <w:lang w:val="en-US" w:eastAsia="zh-CN"/>
        </w:rPr>
        <w:t>外送</w:t>
      </w:r>
      <w:r>
        <w:rPr>
          <w:rFonts w:hint="eastAsia"/>
          <w:color w:val="0000FF"/>
        </w:rPr>
        <w:t>-</w:t>
      </w:r>
      <w:r>
        <w:rPr>
          <w:rFonts w:hint="eastAsia"/>
          <w:color w:val="0000FF"/>
          <w:lang w:eastAsia="zh-CN"/>
        </w:rPr>
        <w:t>白细胞介素</w:t>
      </w:r>
      <w:r>
        <w:rPr>
          <w:rFonts w:hint="eastAsia"/>
          <w:color w:val="0000FF"/>
          <w:lang w:val="en-US" w:eastAsia="zh-CN"/>
        </w:rPr>
        <w:t>17</w:t>
      </w:r>
    </w:p>
    <w:p w14:paraId="44BBE8EA">
      <w:pPr>
        <w:rPr>
          <w:rFonts w:hint="eastAsia"/>
          <w:color w:val="0000FF"/>
          <w:lang w:val="en-US" w:eastAsia="zh-CN"/>
        </w:rPr>
      </w:pPr>
      <w:r>
        <w:rPr>
          <w:rFonts w:hint="eastAsia"/>
          <w:color w:val="0000FF"/>
          <w:lang w:val="en-US" w:eastAsia="zh-CN"/>
        </w:rPr>
        <w:t>外送-食物不耐受14项</w:t>
      </w:r>
    </w:p>
    <w:p w14:paraId="1239FA62">
      <w:pPr>
        <w:rPr>
          <w:rFonts w:hint="eastAsia"/>
          <w:color w:val="0000FF"/>
          <w:lang w:val="en-US" w:eastAsia="zh-CN"/>
        </w:rPr>
      </w:pPr>
      <w:r>
        <w:rPr>
          <w:rFonts w:hint="eastAsia"/>
          <w:color w:val="0000FF"/>
          <w:lang w:val="en-US" w:eastAsia="zh-CN"/>
        </w:rPr>
        <w:t>外送-无机离子3项</w:t>
      </w:r>
    </w:p>
    <w:p w14:paraId="406530F7">
      <w:pPr>
        <w:rPr>
          <w:rFonts w:hint="eastAsia"/>
          <w:color w:val="0000FF"/>
          <w:lang w:val="en-US" w:eastAsia="zh-CN"/>
        </w:rPr>
      </w:pPr>
      <w:r>
        <w:rPr>
          <w:rFonts w:hint="eastAsia"/>
          <w:color w:val="0000FF"/>
          <w:lang w:val="en-US" w:eastAsia="zh-CN"/>
        </w:rPr>
        <w:t>外送-前列腺2项</w:t>
      </w:r>
    </w:p>
    <w:p w14:paraId="28FC9767">
      <w:pPr>
        <w:rPr>
          <w:rFonts w:hint="default"/>
          <w:color w:val="0000FF"/>
          <w:lang w:val="en-US" w:eastAsia="zh-CN"/>
        </w:rPr>
      </w:pPr>
      <w:r>
        <w:rPr>
          <w:rFonts w:hint="eastAsia"/>
          <w:color w:val="0000FF"/>
          <w:lang w:val="en-US" w:eastAsia="zh-CN"/>
        </w:rPr>
        <w:t>外送-穿刺液生化检测</w:t>
      </w:r>
    </w:p>
    <w:p w14:paraId="38B77E97">
      <w:pPr>
        <w:rPr>
          <w:rFonts w:hint="eastAsia"/>
        </w:rPr>
      </w:pPr>
      <w:r>
        <w:rPr>
          <w:rFonts w:hint="eastAsia"/>
        </w:rPr>
        <w:t>外送-</w:t>
      </w:r>
      <w:r>
        <w:rPr>
          <w:rFonts w:hint="eastAsia"/>
          <w:lang w:val="en-US" w:eastAsia="zh-CN"/>
        </w:rPr>
        <w:t>24h尿液</w:t>
      </w:r>
      <w:r>
        <w:rPr>
          <w:rFonts w:hint="eastAsia"/>
        </w:rPr>
        <w:t>生化</w:t>
      </w:r>
    </w:p>
    <w:p w14:paraId="2C73B572">
      <w:pPr>
        <w:rPr>
          <w:rFonts w:hint="eastAsia"/>
        </w:rPr>
      </w:pPr>
      <w:r>
        <w:rPr>
          <w:rFonts w:hint="eastAsia"/>
        </w:rPr>
        <w:t>外送-风湿3项</w:t>
      </w:r>
    </w:p>
    <w:p w14:paraId="466669FD">
      <w:pPr>
        <w:rPr>
          <w:rFonts w:hint="eastAsia"/>
        </w:rPr>
      </w:pPr>
      <w:r>
        <w:rPr>
          <w:rFonts w:hint="eastAsia"/>
          <w:lang w:val="en-US" w:eastAsia="zh-CN"/>
        </w:rPr>
        <w:t>外</w:t>
      </w:r>
      <w:r>
        <w:rPr>
          <w:rFonts w:hint="eastAsia"/>
        </w:rPr>
        <w:t>送-风湿4项</w:t>
      </w:r>
    </w:p>
    <w:p w14:paraId="5C0243CB">
      <w:pPr>
        <w:rPr>
          <w:rFonts w:hint="eastAsia"/>
          <w:color w:val="0000FF"/>
          <w:lang w:val="en-US" w:eastAsia="zh-CN"/>
        </w:rPr>
      </w:pPr>
      <w:r>
        <w:rPr>
          <w:rFonts w:hint="eastAsia"/>
          <w:color w:val="0000FF"/>
          <w:lang w:eastAsia="zh-CN"/>
        </w:rPr>
        <w:t>外送</w:t>
      </w:r>
      <w:r>
        <w:rPr>
          <w:rFonts w:hint="eastAsia"/>
          <w:color w:val="0000FF"/>
        </w:rPr>
        <w:t>-</w:t>
      </w:r>
      <w:r>
        <w:rPr>
          <w:rFonts w:hint="eastAsia"/>
          <w:color w:val="0000FF"/>
          <w:lang w:val="en-US" w:eastAsia="zh-CN"/>
        </w:rPr>
        <w:t>ABO血型鉴定</w:t>
      </w:r>
    </w:p>
    <w:p w14:paraId="1B96E0AF">
      <w:pPr>
        <w:rPr>
          <w:rFonts w:hint="eastAsia" w:eastAsiaTheme="minorEastAsia"/>
          <w:color w:val="0000FF"/>
          <w:lang w:val="en-US" w:eastAsia="zh-CN"/>
        </w:rPr>
      </w:pPr>
      <w:r>
        <w:rPr>
          <w:rFonts w:hint="eastAsia"/>
          <w:color w:val="0000FF"/>
          <w:lang w:val="en-US" w:eastAsia="zh-CN"/>
        </w:rPr>
        <w:t>外送</w:t>
      </w:r>
      <w:r>
        <w:rPr>
          <w:rFonts w:hint="eastAsia"/>
          <w:color w:val="0000FF"/>
        </w:rPr>
        <w:t>-</w:t>
      </w:r>
      <w:r>
        <w:rPr>
          <w:rFonts w:hint="eastAsia"/>
          <w:color w:val="0000FF"/>
          <w:lang w:eastAsia="zh-CN"/>
        </w:rPr>
        <w:t>酒精浓度检测</w:t>
      </w:r>
    </w:p>
    <w:p w14:paraId="54E05224">
      <w:pPr>
        <w:rPr>
          <w:rFonts w:hint="eastAsia"/>
        </w:rPr>
      </w:pPr>
      <w:r>
        <w:rPr>
          <w:rFonts w:hint="eastAsia"/>
        </w:rPr>
        <w:t>外送-Rh(D)定型Rh(D)TyPe</w:t>
      </w:r>
    </w:p>
    <w:p w14:paraId="0C42611D">
      <w:pPr>
        <w:rPr>
          <w:rFonts w:hint="eastAsia"/>
        </w:rPr>
      </w:pPr>
      <w:r>
        <w:rPr>
          <w:rFonts w:hint="eastAsia"/>
        </w:rPr>
        <w:t>外送-肌红蛋白(MY0)</w:t>
      </w:r>
    </w:p>
    <w:p w14:paraId="594D0D05">
      <w:pPr>
        <w:rPr>
          <w:rFonts w:hint="eastAsia"/>
        </w:rPr>
      </w:pPr>
      <w:r>
        <w:rPr>
          <w:rFonts w:hint="eastAsia"/>
        </w:rPr>
        <w:t>外送-贫血3项</w:t>
      </w:r>
    </w:p>
    <w:p w14:paraId="7ACCA1EB">
      <w:pPr>
        <w:rPr>
          <w:rFonts w:hint="eastAsia"/>
        </w:rPr>
      </w:pPr>
      <w:r>
        <w:rPr>
          <w:rFonts w:hint="eastAsia"/>
        </w:rPr>
        <w:t>外送-铁4项</w:t>
      </w:r>
    </w:p>
    <w:p w14:paraId="54BB6556">
      <w:pPr>
        <w:rPr>
          <w:rFonts w:hint="eastAsia"/>
        </w:rPr>
      </w:pPr>
      <w:r>
        <w:rPr>
          <w:rFonts w:hint="eastAsia"/>
        </w:rPr>
        <w:t>外送-贫血4项</w:t>
      </w:r>
    </w:p>
    <w:p w14:paraId="7834BA6F">
      <w:pPr>
        <w:rPr>
          <w:rFonts w:hint="eastAsia" w:eastAsiaTheme="minorEastAsia"/>
          <w:lang w:eastAsia="zh-CN"/>
        </w:rPr>
      </w:pPr>
      <w:r>
        <w:rPr>
          <w:rFonts w:hint="eastAsia"/>
        </w:rPr>
        <w:t>外送-结核杆菌DNA荧光定</w:t>
      </w:r>
      <w:r>
        <w:rPr>
          <w:rFonts w:hint="eastAsia"/>
          <w:lang w:val="en-US" w:eastAsia="zh-CN"/>
        </w:rPr>
        <w:t>量</w:t>
      </w:r>
    </w:p>
    <w:p w14:paraId="0D08C5E3">
      <w:pPr>
        <w:rPr>
          <w:rFonts w:hint="eastAsia" w:eastAsiaTheme="minorEastAsia"/>
          <w:lang w:val="en-US" w:eastAsia="zh-CN"/>
        </w:rPr>
      </w:pPr>
      <w:r>
        <w:rPr>
          <w:rFonts w:hint="eastAsia"/>
        </w:rPr>
        <w:t>外送-乙型肝炎病毒DIA荧光定</w:t>
      </w:r>
      <w:r>
        <w:rPr>
          <w:rFonts w:hint="eastAsia"/>
          <w:lang w:val="en-US" w:eastAsia="zh-CN"/>
        </w:rPr>
        <w:t>量</w:t>
      </w:r>
    </w:p>
    <w:p w14:paraId="4FC43C15">
      <w:pPr>
        <w:tabs>
          <w:tab w:val="right" w:pos="8306"/>
        </w:tabs>
        <w:rPr>
          <w:rFonts w:hint="eastAsia"/>
          <w:lang w:eastAsia="zh-CN"/>
        </w:rPr>
      </w:pPr>
      <w:r>
        <w:rPr>
          <w:rFonts w:hint="eastAsia"/>
        </w:rPr>
        <w:t>外送-乙肝病毒DNA基因分型及耐药检测</w:t>
      </w:r>
      <w:r>
        <w:rPr>
          <w:rFonts w:hint="eastAsia"/>
          <w:lang w:eastAsia="zh-CN"/>
        </w:rPr>
        <w:tab/>
      </w:r>
    </w:p>
    <w:p w14:paraId="07AFF2A6">
      <w:pPr>
        <w:rPr>
          <w:rFonts w:hint="eastAsia"/>
        </w:rPr>
      </w:pPr>
      <w:r>
        <w:rPr>
          <w:rFonts w:hint="eastAsia"/>
        </w:rPr>
        <w:t>外送-肝纤4项</w:t>
      </w:r>
    </w:p>
    <w:p w14:paraId="07A3212E">
      <w:pPr>
        <w:rPr>
          <w:rFonts w:hint="eastAsia"/>
        </w:rPr>
      </w:pPr>
      <w:r>
        <w:rPr>
          <w:rFonts w:hint="eastAsia"/>
        </w:rPr>
        <w:t>外送-卡马西平(得里多)</w:t>
      </w:r>
    </w:p>
    <w:p w14:paraId="4C5B4DF2">
      <w:pPr>
        <w:rPr>
          <w:rFonts w:hint="eastAsia"/>
        </w:rPr>
      </w:pPr>
      <w:r>
        <w:rPr>
          <w:rFonts w:hint="eastAsia"/>
        </w:rPr>
        <w:t>外送-苯巴比妥(鲁米那)</w:t>
      </w:r>
    </w:p>
    <w:p w14:paraId="4E8DFEB1">
      <w:pPr>
        <w:rPr>
          <w:rFonts w:hint="eastAsia"/>
        </w:rPr>
      </w:pPr>
      <w:r>
        <w:rPr>
          <w:rFonts w:hint="eastAsia"/>
        </w:rPr>
        <w:t>外送-苯妥英钠(大仑丁)</w:t>
      </w:r>
    </w:p>
    <w:p w14:paraId="4A8F75B5">
      <w:pPr>
        <w:rPr>
          <w:rFonts w:hint="eastAsia"/>
        </w:rPr>
      </w:pPr>
      <w:r>
        <w:rPr>
          <w:rFonts w:hint="eastAsia"/>
        </w:rPr>
        <w:t>外送-雷帕霉素</w:t>
      </w:r>
    </w:p>
    <w:p w14:paraId="20469D30">
      <w:pPr>
        <w:rPr>
          <w:rFonts w:hint="eastAsia"/>
        </w:rPr>
      </w:pPr>
      <w:r>
        <w:rPr>
          <w:rFonts w:hint="eastAsia"/>
        </w:rPr>
        <w:t>外送-帕罗西汀</w:t>
      </w:r>
    </w:p>
    <w:p w14:paraId="55EE5257">
      <w:pPr>
        <w:rPr>
          <w:rFonts w:hint="eastAsia"/>
        </w:rPr>
      </w:pPr>
      <w:r>
        <w:rPr>
          <w:rFonts w:hint="eastAsia"/>
        </w:rPr>
        <w:t>外送-氟西汀+去甲氟西汀</w:t>
      </w:r>
    </w:p>
    <w:p w14:paraId="57ADBC4E">
      <w:pPr>
        <w:rPr>
          <w:rFonts w:hint="eastAsia"/>
        </w:rPr>
      </w:pPr>
      <w:r>
        <w:rPr>
          <w:rFonts w:hint="eastAsia"/>
        </w:rPr>
        <w:t>外送-度洛西汀</w:t>
      </w:r>
    </w:p>
    <w:p w14:paraId="26CA363F">
      <w:pPr>
        <w:rPr>
          <w:rFonts w:hint="eastAsia"/>
        </w:rPr>
      </w:pPr>
      <w:r>
        <w:rPr>
          <w:rFonts w:hint="eastAsia"/>
        </w:rPr>
        <w:t>外送-米氮平</w:t>
      </w:r>
    </w:p>
    <w:p w14:paraId="633D20C1">
      <w:pPr>
        <w:rPr>
          <w:rFonts w:hint="eastAsia"/>
        </w:rPr>
      </w:pPr>
      <w:r>
        <w:rPr>
          <w:rFonts w:hint="eastAsia"/>
        </w:rPr>
        <w:t>外送-氨磺必利</w:t>
      </w:r>
    </w:p>
    <w:p w14:paraId="5B43329C">
      <w:pPr>
        <w:rPr>
          <w:rFonts w:hint="eastAsia"/>
        </w:rPr>
      </w:pPr>
      <w:r>
        <w:rPr>
          <w:rFonts w:hint="eastAsia"/>
        </w:rPr>
        <w:t>外送-氯丙嗉</w:t>
      </w:r>
    </w:p>
    <w:p w14:paraId="1B5359CA">
      <w:pPr>
        <w:rPr>
          <w:rFonts w:hint="eastAsia"/>
        </w:rPr>
      </w:pPr>
      <w:r>
        <w:rPr>
          <w:rFonts w:hint="eastAsia"/>
        </w:rPr>
        <w:t>外送-曲唑酮</w:t>
      </w:r>
    </w:p>
    <w:p w14:paraId="240793CE">
      <w:pPr>
        <w:rPr>
          <w:rFonts w:hint="eastAsia"/>
        </w:rPr>
      </w:pPr>
      <w:r>
        <w:rPr>
          <w:rFonts w:hint="eastAsia"/>
        </w:rPr>
        <w:t>外送-氟哌啶醇</w:t>
      </w:r>
    </w:p>
    <w:p w14:paraId="1D1E4C9B">
      <w:pPr>
        <w:rPr>
          <w:rFonts w:hint="eastAsia"/>
        </w:rPr>
      </w:pPr>
      <w:r>
        <w:rPr>
          <w:rFonts w:hint="eastAsia"/>
        </w:rPr>
        <w:t>外送-奋乃静</w:t>
      </w:r>
    </w:p>
    <w:p w14:paraId="4720942A">
      <w:pPr>
        <w:rPr>
          <w:rFonts w:hint="eastAsia"/>
        </w:rPr>
      </w:pPr>
      <w:r>
        <w:rPr>
          <w:rFonts w:hint="eastAsia"/>
        </w:rPr>
        <w:t>外送-氟奋乃静</w:t>
      </w:r>
    </w:p>
    <w:p w14:paraId="44A924DA">
      <w:pPr>
        <w:rPr>
          <w:rFonts w:hint="eastAsia"/>
        </w:rPr>
      </w:pPr>
      <w:r>
        <w:rPr>
          <w:rFonts w:hint="eastAsia"/>
        </w:rPr>
        <w:t>外送-鲁拉西酮</w:t>
      </w:r>
    </w:p>
    <w:p w14:paraId="118CAFA2">
      <w:pPr>
        <w:rPr>
          <w:rFonts w:hint="eastAsia"/>
        </w:rPr>
      </w:pPr>
      <w:r>
        <w:rPr>
          <w:rFonts w:hint="eastAsia"/>
        </w:rPr>
        <w:t>外送-齐拉西酮</w:t>
      </w:r>
    </w:p>
    <w:p w14:paraId="410F0FC4">
      <w:pPr>
        <w:rPr>
          <w:rFonts w:hint="eastAsia"/>
        </w:rPr>
      </w:pPr>
      <w:r>
        <w:rPr>
          <w:rFonts w:hint="eastAsia"/>
        </w:rPr>
        <w:t>外送-舒必利</w:t>
      </w:r>
    </w:p>
    <w:p w14:paraId="09C96530">
      <w:pPr>
        <w:rPr>
          <w:rFonts w:hint="eastAsia"/>
        </w:rPr>
      </w:pPr>
      <w:r>
        <w:rPr>
          <w:rFonts w:hint="eastAsia"/>
        </w:rPr>
        <w:t>外送-阿普唑仑</w:t>
      </w:r>
    </w:p>
    <w:p w14:paraId="6904686F">
      <w:pPr>
        <w:rPr>
          <w:rFonts w:hint="eastAsia"/>
        </w:rPr>
      </w:pPr>
      <w:r>
        <w:rPr>
          <w:rFonts w:hint="eastAsia"/>
        </w:rPr>
        <w:t>外送-奥卡西平+代谢物</w:t>
      </w:r>
    </w:p>
    <w:p w14:paraId="5A8413EF">
      <w:pPr>
        <w:rPr>
          <w:rFonts w:hint="eastAsia"/>
        </w:rPr>
      </w:pPr>
      <w:r>
        <w:rPr>
          <w:rFonts w:hint="eastAsia"/>
        </w:rPr>
        <w:t>外送-文法拉辛-去甲文法拉辛联合检测</w:t>
      </w:r>
    </w:p>
    <w:p w14:paraId="676689B0">
      <w:pPr>
        <w:rPr>
          <w:rFonts w:hint="eastAsia"/>
        </w:rPr>
      </w:pPr>
      <w:r>
        <w:rPr>
          <w:rFonts w:hint="eastAsia"/>
        </w:rPr>
        <w:t>外送-拉莫三嗪</w:t>
      </w:r>
    </w:p>
    <w:p w14:paraId="6F913B3B">
      <w:pPr>
        <w:rPr>
          <w:rFonts w:hint="eastAsia"/>
        </w:rPr>
      </w:pPr>
      <w:r>
        <w:rPr>
          <w:rFonts w:hint="eastAsia"/>
        </w:rPr>
        <w:t>外送-左乙拉西坦</w:t>
      </w:r>
    </w:p>
    <w:p w14:paraId="36D9BC98">
      <w:pPr>
        <w:rPr>
          <w:rFonts w:hint="eastAsia"/>
        </w:rPr>
      </w:pPr>
      <w:r>
        <w:rPr>
          <w:rFonts w:hint="eastAsia"/>
        </w:rPr>
        <w:t>外送-伏立康唑</w:t>
      </w:r>
    </w:p>
    <w:p w14:paraId="42BD928B">
      <w:pPr>
        <w:rPr>
          <w:rFonts w:hint="eastAsia"/>
          <w:lang w:val="en-US" w:eastAsia="zh-CN"/>
        </w:rPr>
      </w:pPr>
      <w:r>
        <w:rPr>
          <w:rFonts w:hint="eastAsia"/>
        </w:rPr>
        <w:t>外送-</w:t>
      </w:r>
      <w:r>
        <w:rPr>
          <w:rFonts w:hint="eastAsia"/>
          <w:highlight w:val="yellow"/>
          <w:lang w:val="en-US" w:eastAsia="zh-CN"/>
        </w:rPr>
        <w:t>多</w:t>
      </w:r>
      <w:r>
        <w:rPr>
          <w:rFonts w:hint="eastAsia"/>
          <w:lang w:val="en-US" w:eastAsia="zh-CN"/>
        </w:rPr>
        <w:t>奈哌齐</w:t>
      </w:r>
    </w:p>
    <w:p w14:paraId="0BC01087">
      <w:pPr>
        <w:rPr>
          <w:rFonts w:hint="eastAsia"/>
          <w:lang w:val="en-US" w:eastAsia="zh-CN"/>
        </w:rPr>
      </w:pPr>
      <w:r>
        <w:rPr>
          <w:rFonts w:hint="eastAsia"/>
          <w:lang w:val="en-US" w:eastAsia="zh-CN"/>
        </w:rPr>
        <w:t>外送-地高辛</w:t>
      </w:r>
    </w:p>
    <w:p w14:paraId="585B7C82">
      <w:pPr>
        <w:rPr>
          <w:rFonts w:hint="eastAsia"/>
          <w:lang w:val="en-US" w:eastAsia="zh-CN"/>
        </w:rPr>
      </w:pPr>
      <w:r>
        <w:rPr>
          <w:rFonts w:hint="eastAsia"/>
          <w:lang w:val="en-US" w:eastAsia="zh-CN"/>
        </w:rPr>
        <w:t>外送-氨茶碱</w:t>
      </w:r>
    </w:p>
    <w:p w14:paraId="2DA9FF78">
      <w:pPr>
        <w:rPr>
          <w:rFonts w:hint="eastAsia"/>
          <w:lang w:val="en-US" w:eastAsia="zh-CN"/>
        </w:rPr>
      </w:pPr>
      <w:r>
        <w:rPr>
          <w:rFonts w:hint="eastAsia"/>
          <w:lang w:val="en-US" w:eastAsia="zh-CN"/>
        </w:rPr>
        <w:t>外送-环孢霉素A</w:t>
      </w:r>
    </w:p>
    <w:p w14:paraId="099B15F2">
      <w:pPr>
        <w:rPr>
          <w:rFonts w:hint="eastAsia"/>
          <w:lang w:val="en-US" w:eastAsia="zh-CN"/>
        </w:rPr>
      </w:pPr>
      <w:r>
        <w:rPr>
          <w:rFonts w:hint="eastAsia"/>
          <w:lang w:val="en-US" w:eastAsia="zh-CN"/>
        </w:rPr>
        <w:t>外送-安非他酮</w:t>
      </w:r>
    </w:p>
    <w:p w14:paraId="43AFE8B9">
      <w:pPr>
        <w:rPr>
          <w:rFonts w:hint="eastAsia"/>
          <w:lang w:val="en-US" w:eastAsia="zh-CN"/>
        </w:rPr>
      </w:pPr>
      <w:r>
        <w:rPr>
          <w:rFonts w:hint="eastAsia"/>
          <w:lang w:val="en-US" w:eastAsia="zh-CN"/>
        </w:rPr>
        <w:t>外送-氟哌噻吨美利曲辛</w:t>
      </w:r>
    </w:p>
    <w:p w14:paraId="4C46722B">
      <w:pPr>
        <w:rPr>
          <w:rFonts w:hint="eastAsia" w:eastAsiaTheme="minorEastAsia"/>
          <w:color w:val="0000FF"/>
          <w:lang w:val="en-US" w:eastAsia="zh-CN"/>
        </w:rPr>
      </w:pPr>
      <w:r>
        <w:rPr>
          <w:rFonts w:hint="eastAsia"/>
          <w:color w:val="0000FF"/>
          <w:lang w:val="en-US" w:eastAsia="zh-CN"/>
        </w:rPr>
        <w:t>外送</w:t>
      </w:r>
      <w:r>
        <w:rPr>
          <w:rFonts w:hint="eastAsia"/>
          <w:color w:val="0000FF"/>
        </w:rPr>
        <w:t>-</w:t>
      </w:r>
      <w:r>
        <w:rPr>
          <w:rFonts w:hint="eastAsia"/>
          <w:color w:val="0000FF"/>
          <w:lang w:eastAsia="zh-CN"/>
        </w:rPr>
        <w:t>布</w:t>
      </w:r>
      <w:r>
        <w:rPr>
          <w:rFonts w:hint="eastAsia"/>
          <w:color w:val="0000FF"/>
          <w:highlight w:val="yellow"/>
          <w:lang w:val="en-US" w:eastAsia="zh-CN"/>
        </w:rPr>
        <w:t>南</w:t>
      </w:r>
      <w:r>
        <w:rPr>
          <w:rFonts w:hint="eastAsia"/>
          <w:color w:val="0000FF"/>
          <w:lang w:eastAsia="zh-CN"/>
        </w:rPr>
        <w:t>色林</w:t>
      </w:r>
    </w:p>
    <w:p w14:paraId="5BF2EBEA">
      <w:pPr>
        <w:rPr>
          <w:rFonts w:hint="eastAsia"/>
          <w:lang w:val="en-US" w:eastAsia="zh-CN"/>
        </w:rPr>
      </w:pPr>
      <w:r>
        <w:rPr>
          <w:rFonts w:hint="eastAsia"/>
          <w:lang w:val="en-US" w:eastAsia="zh-CN"/>
        </w:rPr>
        <w:t>外送-SLE三项</w:t>
      </w:r>
    </w:p>
    <w:p w14:paraId="759A6CF2">
      <w:pPr>
        <w:rPr>
          <w:rFonts w:hint="eastAsia"/>
          <w:lang w:val="en-US" w:eastAsia="zh-CN"/>
        </w:rPr>
      </w:pPr>
      <w:r>
        <w:rPr>
          <w:rFonts w:hint="eastAsia"/>
          <w:lang w:val="en-US" w:eastAsia="zh-CN"/>
        </w:rPr>
        <w:t>外送-RA三项</w:t>
      </w:r>
    </w:p>
    <w:p w14:paraId="3D062BA8">
      <w:pPr>
        <w:rPr>
          <w:rFonts w:hint="eastAsia"/>
          <w:lang w:val="en-US" w:eastAsia="zh-CN"/>
        </w:rPr>
      </w:pPr>
      <w:r>
        <w:rPr>
          <w:rFonts w:hint="eastAsia"/>
          <w:lang w:val="en-US" w:eastAsia="zh-CN"/>
        </w:rPr>
        <w:t>外送-自身免疫性肝病抗体(12项)</w:t>
      </w:r>
    </w:p>
    <w:p w14:paraId="37BE301E">
      <w:pPr>
        <w:rPr>
          <w:rFonts w:hint="eastAsia"/>
          <w:lang w:val="en-US" w:eastAsia="zh-CN"/>
        </w:rPr>
      </w:pPr>
      <w:r>
        <w:rPr>
          <w:rFonts w:hint="eastAsia"/>
          <w:lang w:val="en-US" w:eastAsia="zh-CN"/>
        </w:rPr>
        <w:t>外送-抗核抗体十二项</w:t>
      </w:r>
    </w:p>
    <w:p w14:paraId="45BB2A53">
      <w:pPr>
        <w:rPr>
          <w:rFonts w:hint="eastAsia"/>
          <w:lang w:val="en-US" w:eastAsia="zh-CN"/>
        </w:rPr>
      </w:pPr>
      <w:r>
        <w:rPr>
          <w:rFonts w:hint="eastAsia"/>
          <w:lang w:val="en-US" w:eastAsia="zh-CN"/>
        </w:rPr>
        <w:t>外送-血管炎3项</w:t>
      </w:r>
    </w:p>
    <w:p w14:paraId="462A788C">
      <w:pPr>
        <w:rPr>
          <w:rFonts w:hint="eastAsia"/>
          <w:lang w:val="en-US" w:eastAsia="zh-CN"/>
        </w:rPr>
      </w:pPr>
      <w:r>
        <w:rPr>
          <w:rFonts w:hint="eastAsia"/>
          <w:lang w:val="en-US" w:eastAsia="zh-CN"/>
        </w:rPr>
        <w:t>外送-结核菌感染T细胞检测(T-SPOT-TB)</w:t>
      </w:r>
    </w:p>
    <w:p w14:paraId="4E2ABC22">
      <w:pPr>
        <w:rPr>
          <w:rFonts w:hint="eastAsia"/>
          <w:lang w:val="en-US" w:eastAsia="zh-CN"/>
        </w:rPr>
      </w:pPr>
      <w:r>
        <w:rPr>
          <w:rFonts w:hint="eastAsia"/>
          <w:lang w:val="en-US" w:eastAsia="zh-CN"/>
        </w:rPr>
        <w:t>外送-人类白细胞抗原B27测定(HA-B27)</w:t>
      </w:r>
    </w:p>
    <w:p w14:paraId="5262300D">
      <w:pPr>
        <w:rPr>
          <w:rFonts w:hint="eastAsia"/>
          <w:lang w:val="en-US" w:eastAsia="zh-CN"/>
        </w:rPr>
      </w:pPr>
      <w:r>
        <w:rPr>
          <w:rFonts w:hint="eastAsia"/>
          <w:lang w:val="en-US" w:eastAsia="zh-CN"/>
        </w:rPr>
        <w:t>外送-T淋巴细胞亚群</w:t>
      </w:r>
    </w:p>
    <w:p w14:paraId="4BCB0E55">
      <w:pPr>
        <w:rPr>
          <w:rFonts w:hint="eastAsia"/>
          <w:lang w:val="en-US" w:eastAsia="zh-CN"/>
        </w:rPr>
      </w:pPr>
      <w:r>
        <w:rPr>
          <w:rFonts w:hint="eastAsia"/>
          <w:lang w:val="en-US" w:eastAsia="zh-CN"/>
        </w:rPr>
        <w:t>外送-混合组过敏原检测</w:t>
      </w:r>
    </w:p>
    <w:p w14:paraId="48982D11">
      <w:pPr>
        <w:rPr>
          <w:rFonts w:hint="eastAsia"/>
          <w:lang w:val="en-US" w:eastAsia="zh-CN"/>
        </w:rPr>
      </w:pPr>
      <w:r>
        <w:rPr>
          <w:rFonts w:hint="eastAsia"/>
          <w:lang w:val="en-US" w:eastAsia="zh-CN"/>
        </w:rPr>
        <w:t>外送-总1qE检测</w:t>
      </w:r>
    </w:p>
    <w:p w14:paraId="4A8B9855">
      <w:pPr>
        <w:rPr>
          <w:rFonts w:hint="eastAsia"/>
          <w:lang w:val="en-US" w:eastAsia="zh-CN"/>
        </w:rPr>
      </w:pPr>
      <w:r>
        <w:rPr>
          <w:rFonts w:hint="eastAsia"/>
          <w:lang w:val="en-US" w:eastAsia="zh-CN"/>
        </w:rPr>
        <w:t>外送-补体2项(C3，C4)</w:t>
      </w:r>
    </w:p>
    <w:p w14:paraId="1AF92ECC">
      <w:pPr>
        <w:rPr>
          <w:rFonts w:hint="eastAsia"/>
          <w:lang w:val="en-US" w:eastAsia="zh-CN"/>
        </w:rPr>
      </w:pPr>
      <w:r>
        <w:rPr>
          <w:rFonts w:hint="eastAsia"/>
          <w:lang w:val="en-US" w:eastAsia="zh-CN"/>
        </w:rPr>
        <w:t>外送-肿瘤坏死因子α</w:t>
      </w:r>
    </w:p>
    <w:p w14:paraId="3534071C">
      <w:pPr>
        <w:rPr>
          <w:rFonts w:hint="eastAsia"/>
          <w:lang w:val="en-US" w:eastAsia="zh-CN"/>
        </w:rPr>
      </w:pPr>
      <w:r>
        <w:rPr>
          <w:rFonts w:hint="eastAsia"/>
          <w:lang w:val="en-US" w:eastAsia="zh-CN"/>
        </w:rPr>
        <w:t>外送-血培养+鉴定(左侧)</w:t>
      </w:r>
    </w:p>
    <w:p w14:paraId="2254A94D">
      <w:pPr>
        <w:rPr>
          <w:rFonts w:hint="eastAsia"/>
          <w:lang w:val="en-US" w:eastAsia="zh-CN"/>
        </w:rPr>
      </w:pPr>
      <w:r>
        <w:rPr>
          <w:rFonts w:hint="eastAsia"/>
          <w:lang w:val="en-US" w:eastAsia="zh-CN"/>
        </w:rPr>
        <w:t>外送-血培养+鉴定(右侧)</w:t>
      </w:r>
    </w:p>
    <w:p w14:paraId="145C116B">
      <w:pPr>
        <w:rPr>
          <w:rFonts w:hint="eastAsia"/>
          <w:lang w:val="en-US" w:eastAsia="zh-CN"/>
        </w:rPr>
      </w:pPr>
      <w:r>
        <w:rPr>
          <w:rFonts w:hint="eastAsia"/>
          <w:lang w:val="en-US" w:eastAsia="zh-CN"/>
        </w:rPr>
        <w:t>外送-痰液培养+鉴定</w:t>
      </w:r>
    </w:p>
    <w:p w14:paraId="1BF84B46">
      <w:pPr>
        <w:rPr>
          <w:rFonts w:hint="eastAsia"/>
          <w:lang w:val="en-US" w:eastAsia="zh-CN"/>
        </w:rPr>
      </w:pPr>
      <w:r>
        <w:rPr>
          <w:rFonts w:hint="eastAsia"/>
          <w:lang w:val="en-US" w:eastAsia="zh-CN"/>
        </w:rPr>
        <w:t>外送-尿液培养+鉴定+菌落计数</w:t>
      </w:r>
    </w:p>
    <w:p w14:paraId="03BAADC7">
      <w:pPr>
        <w:rPr>
          <w:rFonts w:hint="eastAsia"/>
          <w:lang w:val="en-US" w:eastAsia="zh-CN"/>
        </w:rPr>
      </w:pPr>
      <w:r>
        <w:rPr>
          <w:rFonts w:hint="eastAsia"/>
          <w:lang w:val="en-US" w:eastAsia="zh-CN"/>
        </w:rPr>
        <w:t>外送-粪便培养+鉴定</w:t>
      </w:r>
    </w:p>
    <w:p w14:paraId="1A6EE0F8">
      <w:pPr>
        <w:rPr>
          <w:rFonts w:hint="eastAsia"/>
          <w:lang w:val="en-US" w:eastAsia="zh-CN"/>
        </w:rPr>
      </w:pPr>
      <w:r>
        <w:rPr>
          <w:rFonts w:hint="eastAsia"/>
          <w:lang w:val="en-US" w:eastAsia="zh-CN"/>
        </w:rPr>
        <w:t>外送-血真菌培养+鉴定</w:t>
      </w:r>
    </w:p>
    <w:p w14:paraId="0C4C22BE">
      <w:pPr>
        <w:rPr>
          <w:rFonts w:hint="eastAsia"/>
          <w:lang w:val="en-US" w:eastAsia="zh-CN"/>
        </w:rPr>
      </w:pPr>
      <w:r>
        <w:rPr>
          <w:rFonts w:hint="eastAsia"/>
          <w:lang w:val="en-US" w:eastAsia="zh-CN"/>
        </w:rPr>
        <w:t>外送-脓液培养+鉴定</w:t>
      </w:r>
    </w:p>
    <w:p w14:paraId="3B5640D9">
      <w:pPr>
        <w:rPr>
          <w:rFonts w:hint="eastAsia"/>
          <w:lang w:val="en-US" w:eastAsia="zh-CN"/>
        </w:rPr>
      </w:pPr>
      <w:r>
        <w:rPr>
          <w:rFonts w:hint="eastAsia"/>
          <w:lang w:val="en-US" w:eastAsia="zh-CN"/>
        </w:rPr>
        <w:t>外送-痰液真菌培养+鉴定</w:t>
      </w:r>
    </w:p>
    <w:p w14:paraId="6A0F5CB0">
      <w:pPr>
        <w:rPr>
          <w:rFonts w:hint="eastAsia"/>
          <w:lang w:val="en-US" w:eastAsia="zh-CN"/>
        </w:rPr>
      </w:pPr>
      <w:r>
        <w:rPr>
          <w:rFonts w:hint="eastAsia"/>
          <w:lang w:val="en-US" w:eastAsia="zh-CN"/>
        </w:rPr>
        <w:t>外送-尿液真菌培养+鉴定</w:t>
      </w:r>
    </w:p>
    <w:p w14:paraId="20811D18">
      <w:pPr>
        <w:rPr>
          <w:rFonts w:hint="eastAsia"/>
          <w:lang w:val="en-US" w:eastAsia="zh-CN"/>
        </w:rPr>
      </w:pPr>
      <w:r>
        <w:rPr>
          <w:rFonts w:hint="eastAsia"/>
          <w:lang w:val="en-US" w:eastAsia="zh-CN"/>
        </w:rPr>
        <w:t>外送-咽拭子真菌培养+鉴定</w:t>
      </w:r>
    </w:p>
    <w:p w14:paraId="60688066">
      <w:pPr>
        <w:rPr>
          <w:rFonts w:hint="eastAsia"/>
          <w:lang w:val="en-US" w:eastAsia="zh-CN"/>
        </w:rPr>
      </w:pPr>
      <w:r>
        <w:rPr>
          <w:rFonts w:hint="eastAsia"/>
          <w:lang w:val="en-US" w:eastAsia="zh-CN"/>
        </w:rPr>
        <w:t>外送-粪便真菌培养+鉴定</w:t>
      </w:r>
    </w:p>
    <w:p w14:paraId="596C34DC">
      <w:pPr>
        <w:rPr>
          <w:rFonts w:hint="eastAsia"/>
          <w:lang w:val="en-US" w:eastAsia="zh-CN"/>
        </w:rPr>
      </w:pPr>
      <w:r>
        <w:rPr>
          <w:rFonts w:hint="eastAsia"/>
          <w:lang w:val="en-US" w:eastAsia="zh-CN"/>
        </w:rPr>
        <w:t>外送-真菌涂片检查</w:t>
      </w:r>
    </w:p>
    <w:p w14:paraId="426C3FE1">
      <w:pPr>
        <w:rPr>
          <w:rFonts w:hint="eastAsia"/>
          <w:lang w:val="en-US" w:eastAsia="zh-CN"/>
        </w:rPr>
      </w:pPr>
      <w:r>
        <w:rPr>
          <w:rFonts w:hint="eastAsia"/>
          <w:lang w:val="en-US" w:eastAsia="zh-CN"/>
        </w:rPr>
        <w:t>外送-抗酸杆菌涂片检查</w:t>
      </w:r>
    </w:p>
    <w:p w14:paraId="2EA85FBB">
      <w:pPr>
        <w:rPr>
          <w:rFonts w:hint="eastAsia"/>
          <w:lang w:val="en-US" w:eastAsia="zh-CN"/>
        </w:rPr>
      </w:pPr>
      <w:r>
        <w:rPr>
          <w:rFonts w:hint="eastAsia"/>
          <w:lang w:val="en-US" w:eastAsia="zh-CN"/>
        </w:rPr>
        <w:t>外送-骨髓培养+鉴定</w:t>
      </w:r>
    </w:p>
    <w:p w14:paraId="6CC93881">
      <w:pPr>
        <w:rPr>
          <w:rFonts w:hint="eastAsia"/>
          <w:lang w:val="en-US" w:eastAsia="zh-CN"/>
        </w:rPr>
      </w:pPr>
      <w:r>
        <w:rPr>
          <w:rFonts w:hint="eastAsia"/>
          <w:lang w:val="en-US" w:eastAsia="zh-CN"/>
        </w:rPr>
        <w:t>外送-胸水培养+鉴定</w:t>
      </w:r>
    </w:p>
    <w:p w14:paraId="472FFACC">
      <w:pPr>
        <w:rPr>
          <w:rFonts w:hint="eastAsia"/>
          <w:lang w:val="en-US" w:eastAsia="zh-CN"/>
        </w:rPr>
      </w:pPr>
      <w:r>
        <w:rPr>
          <w:rFonts w:hint="eastAsia"/>
          <w:lang w:val="en-US" w:eastAsia="zh-CN"/>
        </w:rPr>
        <w:t>外送-腹水培养+鉴定</w:t>
      </w:r>
    </w:p>
    <w:p w14:paraId="7CC3D460">
      <w:pPr>
        <w:rPr>
          <w:rFonts w:hint="eastAsia"/>
          <w:lang w:val="en-US" w:eastAsia="zh-CN"/>
        </w:rPr>
      </w:pPr>
      <w:r>
        <w:rPr>
          <w:rFonts w:hint="eastAsia"/>
          <w:lang w:val="en-US" w:eastAsia="zh-CN"/>
        </w:rPr>
        <w:t>外送-脑脊液培养+鉴定</w:t>
      </w:r>
    </w:p>
    <w:p w14:paraId="27A9AEBB">
      <w:pPr>
        <w:rPr>
          <w:rFonts w:hint="eastAsia"/>
          <w:lang w:val="en-US" w:eastAsia="zh-CN"/>
        </w:rPr>
      </w:pPr>
      <w:r>
        <w:rPr>
          <w:rFonts w:hint="eastAsia"/>
          <w:lang w:val="en-US" w:eastAsia="zh-CN"/>
        </w:rPr>
        <w:t>外送-胆汁培养+鉴定</w:t>
      </w:r>
    </w:p>
    <w:p w14:paraId="3EAF5EE0">
      <w:pPr>
        <w:rPr>
          <w:rFonts w:hint="eastAsia"/>
          <w:lang w:val="en-US" w:eastAsia="zh-CN"/>
        </w:rPr>
      </w:pPr>
      <w:r>
        <w:rPr>
          <w:rFonts w:hint="eastAsia"/>
          <w:lang w:val="en-US" w:eastAsia="zh-CN"/>
        </w:rPr>
        <w:t>外-引流液、胎盘胎膜、静脉插管培养+鉴定</w:t>
      </w:r>
    </w:p>
    <w:p w14:paraId="37890C95">
      <w:pPr>
        <w:rPr>
          <w:rFonts w:hint="eastAsia"/>
          <w:lang w:val="en-US" w:eastAsia="zh-CN"/>
        </w:rPr>
      </w:pPr>
      <w:r>
        <w:rPr>
          <w:rFonts w:hint="eastAsia"/>
          <w:lang w:val="en-US" w:eastAsia="zh-CN"/>
        </w:rPr>
        <w:t>外送-骨髓真菌培养+鉴定</w:t>
      </w:r>
    </w:p>
    <w:p w14:paraId="66EA0D17">
      <w:pPr>
        <w:rPr>
          <w:rFonts w:hint="eastAsia"/>
          <w:lang w:val="en-US" w:eastAsia="zh-CN"/>
        </w:rPr>
      </w:pPr>
      <w:r>
        <w:rPr>
          <w:rFonts w:hint="eastAsia"/>
          <w:lang w:val="en-US" w:eastAsia="zh-CN"/>
        </w:rPr>
        <w:t>外送-胸水真菌培养+鉴定</w:t>
      </w:r>
    </w:p>
    <w:p w14:paraId="1CA2FD6E">
      <w:pPr>
        <w:rPr>
          <w:rFonts w:hint="eastAsia"/>
          <w:lang w:val="en-US" w:eastAsia="zh-CN"/>
        </w:rPr>
      </w:pPr>
      <w:r>
        <w:rPr>
          <w:rFonts w:hint="eastAsia"/>
          <w:lang w:val="en-US" w:eastAsia="zh-CN"/>
        </w:rPr>
        <w:t>外送-腹水真菌培养+鉴定</w:t>
      </w:r>
    </w:p>
    <w:p w14:paraId="1EFF6426">
      <w:pPr>
        <w:rPr>
          <w:rFonts w:hint="eastAsia"/>
          <w:lang w:val="en-US" w:eastAsia="zh-CN"/>
        </w:rPr>
      </w:pPr>
      <w:r>
        <w:rPr>
          <w:rFonts w:hint="eastAsia"/>
          <w:lang w:val="en-US" w:eastAsia="zh-CN"/>
        </w:rPr>
        <w:t>外送-支原体培养+药敏</w:t>
      </w:r>
    </w:p>
    <w:p w14:paraId="23D69A68">
      <w:pPr>
        <w:rPr>
          <w:rFonts w:hint="eastAsia"/>
          <w:lang w:val="en-US" w:eastAsia="zh-CN"/>
        </w:rPr>
      </w:pPr>
      <w:r>
        <w:rPr>
          <w:rFonts w:hint="eastAsia"/>
          <w:lang w:val="en-US" w:eastAsia="zh-CN"/>
        </w:rPr>
        <w:t>外送-衣原体抗原检查</w:t>
      </w:r>
    </w:p>
    <w:p w14:paraId="7BC94607">
      <w:pPr>
        <w:rPr>
          <w:rFonts w:hint="eastAsia"/>
          <w:lang w:val="en-US" w:eastAsia="zh-CN"/>
        </w:rPr>
      </w:pPr>
      <w:r>
        <w:rPr>
          <w:rFonts w:hint="eastAsia"/>
          <w:lang w:val="en-US" w:eastAsia="zh-CN"/>
        </w:rPr>
        <w:t>外送-肥达氏反应</w:t>
      </w:r>
    </w:p>
    <w:p w14:paraId="6A1098A9">
      <w:pPr>
        <w:rPr>
          <w:rFonts w:hint="eastAsia"/>
          <w:lang w:val="en-US" w:eastAsia="zh-CN"/>
        </w:rPr>
      </w:pPr>
      <w:r>
        <w:rPr>
          <w:rFonts w:hint="eastAsia"/>
          <w:lang w:val="en-US" w:eastAsia="zh-CN"/>
        </w:rPr>
        <w:t>外送-外婓氏反应</w:t>
      </w:r>
    </w:p>
    <w:p w14:paraId="781B4BB8">
      <w:pPr>
        <w:rPr>
          <w:rFonts w:hint="eastAsia"/>
          <w:lang w:val="en-US" w:eastAsia="zh-CN"/>
        </w:rPr>
      </w:pPr>
      <w:r>
        <w:rPr>
          <w:rFonts w:hint="eastAsia"/>
          <w:lang w:val="en-US" w:eastAsia="zh-CN"/>
        </w:rPr>
        <w:t>外送-隐球菌抗原检测外送-真菌(1，3-β-D葡聚糖）</w:t>
      </w:r>
    </w:p>
    <w:p w14:paraId="37D2B757">
      <w:pPr>
        <w:rPr>
          <w:rFonts w:hint="eastAsia"/>
          <w:lang w:val="en-US" w:eastAsia="zh-CN"/>
        </w:rPr>
      </w:pPr>
      <w:r>
        <w:rPr>
          <w:rFonts w:hint="eastAsia"/>
          <w:lang w:val="en-US" w:eastAsia="zh-CN"/>
        </w:rPr>
        <w:t>外送-曲霉菌抗原检测</w:t>
      </w:r>
    </w:p>
    <w:p w14:paraId="49BF7562">
      <w:pPr>
        <w:rPr>
          <w:rFonts w:hint="eastAsia"/>
          <w:lang w:val="en-US" w:eastAsia="zh-CN"/>
        </w:rPr>
      </w:pPr>
      <w:r>
        <w:rPr>
          <w:rFonts w:hint="eastAsia"/>
          <w:lang w:val="en-US" w:eastAsia="zh-CN"/>
        </w:rPr>
        <w:t>外送-药敏组合1</w:t>
      </w:r>
    </w:p>
    <w:p w14:paraId="6F914D77">
      <w:pPr>
        <w:rPr>
          <w:rFonts w:hint="eastAsia"/>
          <w:lang w:val="en-US" w:eastAsia="zh-CN"/>
        </w:rPr>
      </w:pPr>
      <w:r>
        <w:rPr>
          <w:rFonts w:hint="eastAsia"/>
          <w:lang w:val="en-US" w:eastAsia="zh-CN"/>
        </w:rPr>
        <w:t>外送-药敏组合2</w:t>
      </w:r>
    </w:p>
    <w:p w14:paraId="7D86FCDC">
      <w:pPr>
        <w:rPr>
          <w:rFonts w:hint="eastAsia"/>
          <w:lang w:val="en-US" w:eastAsia="zh-CN"/>
        </w:rPr>
      </w:pPr>
      <w:r>
        <w:rPr>
          <w:rFonts w:hint="eastAsia"/>
          <w:lang w:val="en-US" w:eastAsia="zh-CN"/>
        </w:rPr>
        <w:t>外送-药敏组合3</w:t>
      </w:r>
    </w:p>
    <w:p w14:paraId="0B46D58C">
      <w:pPr>
        <w:rPr>
          <w:rFonts w:hint="eastAsia"/>
          <w:lang w:val="en-US" w:eastAsia="zh-CN"/>
        </w:rPr>
      </w:pPr>
      <w:r>
        <w:rPr>
          <w:rFonts w:hint="eastAsia"/>
          <w:lang w:val="en-US" w:eastAsia="zh-CN"/>
        </w:rPr>
        <w:t>外送-常规药敏定量试验(MIC)</w:t>
      </w:r>
    </w:p>
    <w:p w14:paraId="355D975A">
      <w:pPr>
        <w:rPr>
          <w:rFonts w:hint="eastAsia"/>
          <w:lang w:val="en-US" w:eastAsia="zh-CN"/>
        </w:rPr>
      </w:pPr>
      <w:r>
        <w:rPr>
          <w:rFonts w:hint="eastAsia"/>
          <w:lang w:val="en-US" w:eastAsia="zh-CN"/>
        </w:rPr>
        <w:t>外送-真菌药敏试验</w:t>
      </w:r>
    </w:p>
    <w:p w14:paraId="36B440FB">
      <w:pPr>
        <w:rPr>
          <w:rFonts w:hint="eastAsia"/>
          <w:lang w:val="en-US" w:eastAsia="zh-CN"/>
        </w:rPr>
      </w:pPr>
      <w:r>
        <w:rPr>
          <w:rFonts w:hint="eastAsia"/>
          <w:lang w:val="en-US" w:eastAsia="zh-CN"/>
        </w:rPr>
        <w:t>外送-厌氧菌药敏试验</w:t>
      </w:r>
    </w:p>
    <w:p w14:paraId="02D8C792">
      <w:pPr>
        <w:rPr>
          <w:rFonts w:hint="eastAsia"/>
          <w:lang w:val="en-US" w:eastAsia="zh-CN"/>
        </w:rPr>
      </w:pPr>
      <w:r>
        <w:rPr>
          <w:rFonts w:hint="eastAsia"/>
          <w:lang w:val="en-US" w:eastAsia="zh-CN"/>
        </w:rPr>
        <w:t>外送-登革病毒NSI抗原</w:t>
      </w:r>
    </w:p>
    <w:p w14:paraId="569757CD">
      <w:pPr>
        <w:rPr>
          <w:rFonts w:hint="eastAsia"/>
          <w:lang w:val="en-US" w:eastAsia="zh-CN"/>
        </w:rPr>
      </w:pPr>
      <w:r>
        <w:rPr>
          <w:rFonts w:hint="eastAsia"/>
          <w:lang w:val="en-US" w:eastAsia="zh-CN"/>
        </w:rPr>
        <w:t>外送-酒精代谢能力基因检测</w:t>
      </w:r>
    </w:p>
    <w:p w14:paraId="1E921095">
      <w:pPr>
        <w:rPr>
          <w:rFonts w:hint="eastAsia"/>
          <w:lang w:val="en-US" w:eastAsia="zh-CN"/>
        </w:rPr>
      </w:pPr>
      <w:r>
        <w:rPr>
          <w:rFonts w:hint="eastAsia"/>
          <w:lang w:val="en-US" w:eastAsia="zh-CN"/>
        </w:rPr>
        <w:t>外送-脂溶性维生素群(ADEK)</w:t>
      </w:r>
    </w:p>
    <w:p w14:paraId="6C730C81">
      <w:pPr>
        <w:rPr>
          <w:rFonts w:hint="eastAsia"/>
          <w:lang w:val="en-US" w:eastAsia="zh-CN"/>
        </w:rPr>
      </w:pPr>
      <w:r>
        <w:rPr>
          <w:rFonts w:hint="eastAsia"/>
          <w:lang w:val="en-US" w:eastAsia="zh-CN"/>
        </w:rPr>
        <w:t>外送-维生素E检测</w:t>
      </w:r>
    </w:p>
    <w:p w14:paraId="6B5FE3DF">
      <w:pPr>
        <w:rPr>
          <w:rFonts w:hint="eastAsia"/>
          <w:lang w:val="en-US" w:eastAsia="zh-CN"/>
        </w:rPr>
      </w:pPr>
      <w:r>
        <w:rPr>
          <w:rFonts w:hint="eastAsia"/>
          <w:lang w:val="en-US" w:eastAsia="zh-CN"/>
        </w:rPr>
        <w:t>外送-维生素A检测</w:t>
      </w:r>
    </w:p>
    <w:p w14:paraId="0307EE04">
      <w:pPr>
        <w:rPr>
          <w:rFonts w:hint="eastAsia"/>
          <w:lang w:val="en-US" w:eastAsia="zh-CN"/>
        </w:rPr>
      </w:pPr>
      <w:r>
        <w:rPr>
          <w:rFonts w:hint="eastAsia"/>
          <w:lang w:val="en-US" w:eastAsia="zh-CN"/>
        </w:rPr>
        <w:t>外送-血儿茶酚胺</w:t>
      </w:r>
    </w:p>
    <w:p w14:paraId="13CB1BCA">
      <w:pPr>
        <w:rPr>
          <w:rFonts w:hint="eastAsia"/>
          <w:lang w:val="en-US" w:eastAsia="zh-CN"/>
        </w:rPr>
      </w:pPr>
      <w:r>
        <w:rPr>
          <w:rFonts w:hint="eastAsia"/>
          <w:lang w:val="en-US" w:eastAsia="zh-CN"/>
        </w:rPr>
        <w:t>外送-解脲脲原体RNA检测(UU-RNA)</w:t>
      </w:r>
    </w:p>
    <w:p w14:paraId="3DC2D951">
      <w:pPr>
        <w:rPr>
          <w:rFonts w:hint="eastAsia"/>
          <w:lang w:val="en-US" w:eastAsia="zh-CN"/>
        </w:rPr>
      </w:pPr>
      <w:r>
        <w:rPr>
          <w:rFonts w:hint="eastAsia"/>
          <w:lang w:val="en-US" w:eastAsia="zh-CN"/>
        </w:rPr>
        <w:t>外送-沙眼衣原体RNA检测(CT-RNA)</w:t>
      </w:r>
    </w:p>
    <w:p w14:paraId="3BBE780A">
      <w:pPr>
        <w:rPr>
          <w:rFonts w:hint="eastAsia"/>
          <w:lang w:val="en-US" w:eastAsia="zh-CN"/>
        </w:rPr>
      </w:pPr>
      <w:r>
        <w:rPr>
          <w:rFonts w:hint="eastAsia"/>
          <w:lang w:val="en-US" w:eastAsia="zh-CN"/>
        </w:rPr>
        <w:t>外送-淋球菌RNA检测(NG-RNA)</w:t>
      </w:r>
    </w:p>
    <w:p w14:paraId="28602DF4">
      <w:pPr>
        <w:rPr>
          <w:rFonts w:hint="eastAsia"/>
          <w:lang w:val="en-US" w:eastAsia="zh-CN"/>
        </w:rPr>
      </w:pPr>
      <w:r>
        <w:rPr>
          <w:rFonts w:hint="eastAsia"/>
          <w:lang w:val="en-US" w:eastAsia="zh-CN"/>
        </w:rPr>
        <w:t>外送-生殖支原体RNA检测(MG-RNA)</w:t>
      </w:r>
    </w:p>
    <w:p w14:paraId="70007ED1">
      <w:pPr>
        <w:rPr>
          <w:rFonts w:hint="eastAsia"/>
          <w:lang w:val="en-US" w:eastAsia="zh-CN"/>
        </w:rPr>
      </w:pPr>
      <w:r>
        <w:rPr>
          <w:rFonts w:hint="eastAsia"/>
          <w:lang w:val="en-US" w:eastAsia="zh-CN"/>
        </w:rPr>
        <w:t>外送-结核XpertMTB/RIF</w:t>
      </w:r>
    </w:p>
    <w:p w14:paraId="7C72B9D3">
      <w:pPr>
        <w:rPr>
          <w:rFonts w:hint="eastAsia"/>
          <w:lang w:val="en-US" w:eastAsia="zh-CN"/>
        </w:rPr>
      </w:pPr>
      <w:r>
        <w:rPr>
          <w:rFonts w:hint="eastAsia"/>
          <w:lang w:val="en-US" w:eastAsia="zh-CN"/>
        </w:rPr>
        <w:t>外送-乙型肝炎表面抗原定量测定</w:t>
      </w:r>
    </w:p>
    <w:p w14:paraId="29D89BDB">
      <w:pPr>
        <w:rPr>
          <w:rFonts w:hint="eastAsia"/>
          <w:lang w:val="en-US" w:eastAsia="zh-CN"/>
        </w:rPr>
      </w:pPr>
      <w:r>
        <w:rPr>
          <w:rFonts w:hint="eastAsia"/>
          <w:lang w:val="en-US" w:eastAsia="zh-CN"/>
        </w:rPr>
        <w:t>外送-乙型肝炎病毒表面抗体走量</w:t>
      </w:r>
    </w:p>
    <w:p w14:paraId="1EC3E089">
      <w:pPr>
        <w:rPr>
          <w:rFonts w:hint="eastAsia"/>
          <w:lang w:val="en-US" w:eastAsia="zh-CN"/>
        </w:rPr>
      </w:pPr>
      <w:r>
        <w:rPr>
          <w:rFonts w:hint="eastAsia"/>
          <w:lang w:val="en-US" w:eastAsia="zh-CN"/>
        </w:rPr>
        <w:t>外送-麻疹病毒抗体二项(MV-lgM、MV-lgG)</w:t>
      </w:r>
    </w:p>
    <w:p w14:paraId="2E3E346D">
      <w:pPr>
        <w:rPr>
          <w:rFonts w:hint="eastAsia"/>
          <w:lang w:val="en-US" w:eastAsia="zh-CN"/>
        </w:rPr>
      </w:pPr>
      <w:r>
        <w:rPr>
          <w:rFonts w:hint="eastAsia"/>
          <w:lang w:val="en-US" w:eastAsia="zh-CN"/>
        </w:rPr>
        <w:t>外送-EB病毒DNA英光定量EBV</w:t>
      </w:r>
    </w:p>
    <w:p w14:paraId="44E3F4E7">
      <w:pPr>
        <w:rPr>
          <w:rFonts w:hint="eastAsia"/>
          <w:lang w:val="en-US" w:eastAsia="zh-CN"/>
        </w:rPr>
      </w:pPr>
      <w:r>
        <w:rPr>
          <w:rFonts w:hint="eastAsia"/>
          <w:lang w:val="en-US" w:eastAsia="zh-CN"/>
        </w:rPr>
        <w:t>外送-墨汁染色找隐球菌</w:t>
      </w:r>
    </w:p>
    <w:p w14:paraId="03D129E8">
      <w:pPr>
        <w:rPr>
          <w:rFonts w:hint="eastAsia"/>
          <w:lang w:val="en-US" w:eastAsia="zh-CN"/>
        </w:rPr>
      </w:pPr>
      <w:r>
        <w:rPr>
          <w:rFonts w:hint="eastAsia"/>
          <w:lang w:val="en-US" w:eastAsia="zh-CN"/>
        </w:rPr>
        <w:t>外送-高灵敏度乙型肝炎DNA定量检测</w:t>
      </w:r>
    </w:p>
    <w:p w14:paraId="5D0FC5D1">
      <w:pPr>
        <w:rPr>
          <w:rFonts w:hint="eastAsia"/>
          <w:lang w:val="en-US" w:eastAsia="zh-CN"/>
        </w:rPr>
      </w:pPr>
      <w:r>
        <w:rPr>
          <w:rFonts w:hint="eastAsia"/>
          <w:lang w:val="en-US" w:eastAsia="zh-CN"/>
        </w:rPr>
        <w:t>外送-血铅Pb</w:t>
      </w:r>
    </w:p>
    <w:p w14:paraId="33C747B1">
      <w:pPr>
        <w:rPr>
          <w:rFonts w:hint="eastAsia"/>
          <w:lang w:val="en-US" w:eastAsia="zh-CN"/>
        </w:rPr>
      </w:pPr>
      <w:r>
        <w:rPr>
          <w:rFonts w:hint="eastAsia"/>
          <w:lang w:val="en-US" w:eastAsia="zh-CN"/>
        </w:rPr>
        <w:t>外送-抗精神分裂症药物基因检测</w:t>
      </w:r>
    </w:p>
    <w:p w14:paraId="349AE78C">
      <w:pPr>
        <w:rPr>
          <w:rFonts w:hint="eastAsia"/>
          <w:lang w:val="en-US" w:eastAsia="zh-CN"/>
        </w:rPr>
      </w:pPr>
      <w:r>
        <w:rPr>
          <w:rFonts w:hint="eastAsia"/>
          <w:lang w:val="en-US" w:eastAsia="zh-CN"/>
        </w:rPr>
        <w:t>外送-抗抑郁药物基因检测</w:t>
      </w:r>
    </w:p>
    <w:p w14:paraId="7164FFCC">
      <w:pPr>
        <w:rPr>
          <w:rFonts w:hint="eastAsia"/>
          <w:lang w:val="en-US" w:eastAsia="zh-CN"/>
        </w:rPr>
      </w:pPr>
      <w:r>
        <w:rPr>
          <w:rFonts w:hint="eastAsia"/>
          <w:lang w:val="en-US" w:eastAsia="zh-CN"/>
        </w:rPr>
        <w:t>外送-抗焦虑药物基因检测</w:t>
      </w:r>
    </w:p>
    <w:p w14:paraId="409A6569">
      <w:pPr>
        <w:rPr>
          <w:rFonts w:hint="eastAsia"/>
          <w:lang w:val="en-US" w:eastAsia="zh-CN"/>
        </w:rPr>
      </w:pPr>
      <w:r>
        <w:rPr>
          <w:rFonts w:hint="eastAsia"/>
          <w:lang w:val="en-US" w:eastAsia="zh-CN"/>
        </w:rPr>
        <w:t>外送-抗癫痫药基因检测</w:t>
      </w:r>
    </w:p>
    <w:p w14:paraId="7BE4349A">
      <w:pPr>
        <w:rPr>
          <w:rFonts w:hint="eastAsia"/>
          <w:lang w:val="en-US" w:eastAsia="zh-CN"/>
        </w:rPr>
      </w:pPr>
      <w:r>
        <w:rPr>
          <w:rFonts w:hint="eastAsia"/>
          <w:lang w:val="en-US" w:eastAsia="zh-CN"/>
        </w:rPr>
        <w:t>外送-抗双相情感障碍用药基因检测</w:t>
      </w:r>
    </w:p>
    <w:p w14:paraId="35A5E6BB">
      <w:pPr>
        <w:rPr>
          <w:rFonts w:hint="eastAsia"/>
          <w:lang w:val="en-US" w:eastAsia="zh-CN"/>
        </w:rPr>
      </w:pPr>
      <w:r>
        <w:rPr>
          <w:rFonts w:hint="eastAsia"/>
          <w:lang w:val="en-US" w:eastAsia="zh-CN"/>
        </w:rPr>
        <w:t>外送-APOE基因分型检测</w:t>
      </w:r>
    </w:p>
    <w:p w14:paraId="1D233862">
      <w:pPr>
        <w:rPr>
          <w:rFonts w:hint="eastAsia"/>
          <w:lang w:val="en-US" w:eastAsia="zh-CN"/>
        </w:rPr>
      </w:pPr>
      <w:r>
        <w:rPr>
          <w:rFonts w:hint="eastAsia"/>
          <w:lang w:val="en-US" w:eastAsia="zh-CN"/>
        </w:rPr>
        <w:t>外送-儿童安全用药基因检测</w:t>
      </w:r>
    </w:p>
    <w:p w14:paraId="6EA5361F">
      <w:pPr>
        <w:rPr>
          <w:rFonts w:hint="eastAsia"/>
          <w:lang w:val="en-US" w:eastAsia="zh-CN"/>
        </w:rPr>
      </w:pPr>
      <w:r>
        <w:rPr>
          <w:rFonts w:hint="eastAsia"/>
          <w:lang w:val="en-US" w:eastAsia="zh-CN"/>
        </w:rPr>
        <w:t>外送-精神疾病综合用药</w:t>
      </w:r>
    </w:p>
    <w:p w14:paraId="0C3048A4">
      <w:pPr>
        <w:numPr>
          <w:ilvl w:val="0"/>
          <w:numId w:val="1"/>
        </w:numPr>
        <w:rPr>
          <w:rFonts w:hint="eastAsia"/>
          <w:b/>
          <w:bCs/>
          <w:sz w:val="24"/>
          <w:szCs w:val="24"/>
          <w:lang w:val="en-US" w:eastAsia="zh-CN"/>
        </w:rPr>
      </w:pPr>
      <w:r>
        <w:rPr>
          <w:rFonts w:hint="eastAsia"/>
          <w:b/>
          <w:bCs/>
          <w:sz w:val="24"/>
          <w:szCs w:val="24"/>
          <w:lang w:val="en-US" w:eastAsia="zh-CN"/>
        </w:rPr>
        <w:t>外送公司资质、能力要求</w:t>
      </w:r>
    </w:p>
    <w:p w14:paraId="5051A1F9">
      <w:pPr>
        <w:numPr>
          <w:ilvl w:val="0"/>
          <w:numId w:val="0"/>
        </w:numPr>
        <w:rPr>
          <w:rFonts w:hint="eastAsia"/>
          <w:b/>
          <w:bCs/>
          <w:lang w:val="en-US" w:eastAsia="zh-CN"/>
        </w:rPr>
      </w:pPr>
      <w:r>
        <w:rPr>
          <w:rFonts w:hint="eastAsia"/>
          <w:b/>
          <w:bCs/>
          <w:lang w:val="en-US" w:eastAsia="zh-CN"/>
        </w:rPr>
        <w:t>2.1基本资质</w:t>
      </w:r>
    </w:p>
    <w:p w14:paraId="40E1B414">
      <w:pPr>
        <w:numPr>
          <w:ilvl w:val="0"/>
          <w:numId w:val="0"/>
        </w:numPr>
        <w:rPr>
          <w:rFonts w:hint="eastAsia" w:ascii="宋体" w:hAnsi="宋体" w:eastAsia="宋体" w:cs="宋体"/>
          <w:sz w:val="21"/>
          <w:szCs w:val="21"/>
          <w:lang w:eastAsia="zh-CN"/>
        </w:rPr>
      </w:pPr>
      <w:r>
        <w:rPr>
          <w:rFonts w:hint="eastAsia"/>
          <w:sz w:val="21"/>
          <w:szCs w:val="21"/>
          <w:lang w:val="en-US" w:eastAsia="zh-CN"/>
        </w:rPr>
        <w:t>2.11符合</w:t>
      </w:r>
      <w:r>
        <w:rPr>
          <w:rFonts w:hint="eastAsia" w:ascii="宋体" w:hAnsi="宋体" w:eastAsia="宋体" w:cs="宋体"/>
          <w:sz w:val="21"/>
          <w:szCs w:val="21"/>
        </w:rPr>
        <w:t>《中华人民共和国政府采购法》第二十二条规定的条件</w:t>
      </w:r>
    </w:p>
    <w:p w14:paraId="3FDEFD9A">
      <w:pPr>
        <w:numPr>
          <w:ilvl w:val="0"/>
          <w:numId w:val="0"/>
        </w:numPr>
        <w:rPr>
          <w:rFonts w:hint="eastAsia" w:eastAsia="宋体"/>
          <w:sz w:val="21"/>
          <w:szCs w:val="21"/>
          <w:lang w:val="en-US" w:eastAsia="zh-CN"/>
        </w:rPr>
      </w:pPr>
      <w:r>
        <w:rPr>
          <w:rFonts w:hint="eastAsia" w:ascii="宋体" w:hAnsi="宋体" w:eastAsia="宋体" w:cs="宋体"/>
          <w:sz w:val="21"/>
          <w:szCs w:val="21"/>
          <w:lang w:val="en-US" w:eastAsia="zh-CN"/>
        </w:rPr>
        <w:t>2.1.2</w:t>
      </w:r>
      <w:r>
        <w:rPr>
          <w:rFonts w:hint="eastAsia" w:ascii="宋体" w:hAnsi="宋体" w:eastAsia="宋体" w:cs="宋体"/>
          <w:sz w:val="21"/>
          <w:szCs w:val="21"/>
        </w:rPr>
        <w:t>具有《医疗机构执业许可证》</w:t>
      </w:r>
    </w:p>
    <w:p w14:paraId="7D2EF6D7">
      <w:pPr>
        <w:numPr>
          <w:ilvl w:val="0"/>
          <w:numId w:val="0"/>
        </w:numPr>
        <w:rPr>
          <w:rFonts w:hint="eastAsia" w:ascii="宋体" w:hAnsi="宋体" w:eastAsia="宋体" w:cs="宋体"/>
          <w:sz w:val="21"/>
          <w:szCs w:val="21"/>
        </w:rPr>
      </w:pPr>
      <w:r>
        <w:rPr>
          <w:rFonts w:hint="eastAsia" w:ascii="宋体" w:hAnsi="宋体" w:eastAsia="宋体" w:cs="宋体"/>
          <w:sz w:val="21"/>
          <w:szCs w:val="21"/>
          <w:lang w:val="en-US" w:eastAsia="zh-CN"/>
        </w:rPr>
        <w:t>2.1.3</w:t>
      </w:r>
      <w:r>
        <w:rPr>
          <w:rFonts w:hint="eastAsia" w:ascii="宋体" w:hAnsi="宋体" w:eastAsia="宋体" w:cs="宋体"/>
          <w:sz w:val="21"/>
          <w:szCs w:val="21"/>
        </w:rPr>
        <w:t>未被列入“信用中国”网站(www.creditchina.gov.cn)“记录失信被执行人或重大税收违法案件当事人名单或政府采购严重违法失信行为”记录名单；同时，不处于中国政府采购网(www.ccgp.gov.cn)“政府采购严重违法失信行为信息记录”中的禁止参加政府采购活动期间。</w:t>
      </w:r>
    </w:p>
    <w:p w14:paraId="084B76D7">
      <w:pPr>
        <w:numPr>
          <w:ilvl w:val="0"/>
          <w:numId w:val="0"/>
        </w:num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2.2技术资质</w:t>
      </w:r>
    </w:p>
    <w:p w14:paraId="0DB85BF8">
      <w:pPr>
        <w:numPr>
          <w:ilvl w:val="0"/>
          <w:numId w:val="0"/>
        </w:num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lang w:val="en-US" w:eastAsia="zh-CN"/>
        </w:rPr>
        <w:t>2.2.1</w:t>
      </w:r>
      <w:r>
        <w:rPr>
          <w:rFonts w:hint="eastAsia" w:ascii="宋体" w:hAnsi="宋体" w:eastAsia="宋体" w:cs="宋体"/>
          <w:color w:val="000000" w:themeColor="text1"/>
          <w:sz w:val="21"/>
          <w:szCs w:val="21"/>
          <w14:textFill>
            <w14:solidFill>
              <w14:schemeClr w14:val="tx1"/>
            </w14:solidFill>
          </w14:textFill>
        </w:rPr>
        <w:t>符合国家卫计委《医疗机构临床实验室管理办法》等法律法规要求</w:t>
      </w:r>
    </w:p>
    <w:p w14:paraId="6E4E0D23">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2.2.2</w:t>
      </w:r>
      <w:r>
        <w:rPr>
          <w:rFonts w:hint="eastAsia" w:ascii="宋体" w:hAnsi="宋体" w:eastAsia="宋体" w:cs="宋体"/>
          <w:color w:val="000000" w:themeColor="text1"/>
          <w:sz w:val="21"/>
          <w:szCs w:val="21"/>
          <w14:textFill>
            <w14:solidFill>
              <w14:schemeClr w14:val="tx1"/>
            </w14:solidFill>
          </w14:textFill>
        </w:rPr>
        <w:t xml:space="preserve">有参加临床检验中心组织的室间质评； </w:t>
      </w:r>
    </w:p>
    <w:p w14:paraId="49C90546">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2.2.3</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 xml:space="preserve">实验室须具有临床检验中心颁发临床基因扩增检验实验室技术审核验收合格证书； </w:t>
      </w:r>
    </w:p>
    <w:p w14:paraId="14DD0A2C">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2.2.4</w:t>
      </w:r>
      <w:r>
        <w:rPr>
          <w:rFonts w:hint="eastAsia" w:ascii="宋体" w:hAnsi="宋体" w:eastAsia="宋体" w:cs="宋体"/>
          <w:color w:val="000000" w:themeColor="text1"/>
          <w:sz w:val="21"/>
          <w:szCs w:val="21"/>
          <w14:textFill>
            <w14:solidFill>
              <w14:schemeClr w14:val="tx1"/>
            </w14:solidFill>
          </w14:textFill>
        </w:rPr>
        <w:t>具备检验检测机构资质认定证书（CMA）；</w:t>
      </w:r>
    </w:p>
    <w:p w14:paraId="764AB18B">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2.2.5</w:t>
      </w:r>
      <w:r>
        <w:rPr>
          <w:rFonts w:hint="eastAsia" w:ascii="宋体" w:hAnsi="宋体" w:eastAsia="宋体" w:cs="宋体"/>
          <w:color w:val="000000" w:themeColor="text1"/>
          <w:sz w:val="21"/>
          <w:szCs w:val="21"/>
          <w14:textFill>
            <w14:solidFill>
              <w14:schemeClr w14:val="tx1"/>
            </w14:solidFill>
          </w14:textFill>
        </w:rPr>
        <w:t>具备中国合格评定国家认可委员会（CNAS） ISO15189认可证书；</w:t>
      </w:r>
    </w:p>
    <w:p w14:paraId="25334240">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2.2.6</w:t>
      </w:r>
      <w:r>
        <w:rPr>
          <w:rFonts w:hint="eastAsia" w:ascii="宋体" w:hAnsi="宋体" w:eastAsia="宋体" w:cs="宋体"/>
          <w:color w:val="000000" w:themeColor="text1"/>
          <w:sz w:val="21"/>
          <w:szCs w:val="21"/>
          <w14:textFill>
            <w14:solidFill>
              <w14:schemeClr w14:val="tx1"/>
            </w14:solidFill>
          </w14:textFill>
        </w:rPr>
        <w:t>具有由国家认证认可监督管理部门批准设立的认证机构颁发并在有效期内的质量管理体系认证证书、环境管理体系认证证书、职业健康安全管理体系认证证书；</w:t>
      </w:r>
    </w:p>
    <w:p w14:paraId="6DC2136C">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cs="宋体" w:asciiTheme="minorEastAsia" w:hAnsiTheme="minorEastAsia"/>
          <w:sz w:val="21"/>
          <w:szCs w:val="21"/>
          <w:lang w:val="en-US" w:eastAsia="zh-CN"/>
        </w:rPr>
        <w:t>2.2.7</w:t>
      </w:r>
      <w:r>
        <w:rPr>
          <w:rFonts w:hint="eastAsia" w:cs="宋体" w:asciiTheme="minorEastAsia" w:hAnsiTheme="minorEastAsia" w:eastAsiaTheme="minorEastAsia"/>
          <w:color w:val="000000" w:themeColor="text1"/>
          <w:sz w:val="21"/>
          <w:szCs w:val="21"/>
          <w14:textFill>
            <w14:solidFill>
              <w14:schemeClr w14:val="tx1"/>
            </w14:solidFill>
          </w14:textFill>
        </w:rPr>
        <w:t>具备完善的售后服务能力</w:t>
      </w:r>
      <w:r>
        <w:rPr>
          <w:rFonts w:hint="eastAsia" w:ascii="宋体" w:hAnsi="宋体" w:eastAsia="宋体" w:cs="宋体"/>
          <w:color w:val="000000" w:themeColor="text1"/>
          <w:sz w:val="21"/>
          <w:szCs w:val="21"/>
          <w14:textFill>
            <w14:solidFill>
              <w14:schemeClr w14:val="tx1"/>
            </w14:solidFill>
          </w14:textFill>
        </w:rPr>
        <w:t>；</w:t>
      </w:r>
    </w:p>
    <w:p w14:paraId="525F90DD">
      <w:pPr>
        <w:pageBreakBefore w:val="0"/>
        <w:numPr>
          <w:ilvl w:val="0"/>
          <w:numId w:val="0"/>
        </w:numPr>
        <w:kinsoku/>
        <w:wordWrap/>
        <w:overflowPunct/>
        <w:topLinePunct w:val="0"/>
        <w:bidi w:val="0"/>
        <w:spacing w:line="360" w:lineRule="auto"/>
        <w:ind w:leftChars="0"/>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2.2.8</w:t>
      </w:r>
      <w:r>
        <w:rPr>
          <w:rFonts w:hint="eastAsia" w:ascii="宋体" w:hAnsi="宋体" w:eastAsia="宋体" w:cs="宋体"/>
          <w:color w:val="000000" w:themeColor="text1"/>
          <w:sz w:val="21"/>
          <w:szCs w:val="21"/>
          <w14:textFill>
            <w14:solidFill>
              <w14:schemeClr w14:val="tx1"/>
            </w14:solidFill>
          </w14:textFill>
        </w:rPr>
        <w:t>拥有病原微生物检测平台，具备病原微生物高级专家，出具报告快速、准确，可充分满足临床需求；</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具有符合国家细菌耐药监测网要求规范的药敏分析报告，协助医院进行细菌耐药监测，为医院合理使用抗菌素提供依据；</w:t>
      </w:r>
      <w:r>
        <w:rPr>
          <w:rFonts w:hint="eastAsia" w:ascii="宋体" w:hAnsi="宋体" w:eastAsia="宋体" w:cs="宋体"/>
          <w:color w:val="000000" w:themeColor="text1"/>
          <w:sz w:val="21"/>
          <w:szCs w:val="21"/>
          <w:lang w:val="en-US" w:eastAsia="zh-CN"/>
          <w14:textFill>
            <w14:solidFill>
              <w14:schemeClr w14:val="tx1"/>
            </w14:solidFill>
          </w14:textFill>
        </w:rPr>
        <w:t>可以提供微生物科室人员免费技术指导和进修。</w:t>
      </w:r>
    </w:p>
    <w:p w14:paraId="1908C19D">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2.2.9</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拥有权威医学院校的技术支撑，协助医院开展检验人员进修培训、协助医院开展继续教育、专题讲座等学术交流活动。</w:t>
      </w:r>
    </w:p>
    <w:p w14:paraId="492D23C7">
      <w:pPr>
        <w:numPr>
          <w:ilvl w:val="0"/>
          <w:numId w:val="0"/>
        </w:numP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2.2.10 通过</w:t>
      </w:r>
      <w:r>
        <w:rPr>
          <w:rFonts w:hint="eastAsia" w:ascii="宋体" w:hAnsi="宋体" w:eastAsia="宋体" w:cs="宋体"/>
          <w:color w:val="000000" w:themeColor="text1"/>
          <w:sz w:val="21"/>
          <w:szCs w:val="21"/>
          <w:lang w:eastAsia="zh-CN"/>
          <w14:textFill>
            <w14:solidFill>
              <w14:schemeClr w14:val="tx1"/>
            </w14:solidFill>
          </w14:textFill>
        </w:rPr>
        <w:t>ISO20000信息技术服务管理体系认证，</w:t>
      </w:r>
      <w:r>
        <w:rPr>
          <w:rFonts w:hint="eastAsia" w:ascii="宋体" w:hAnsi="宋体" w:eastAsia="宋体" w:cs="宋体"/>
          <w:color w:val="000000" w:themeColor="text1"/>
          <w:sz w:val="21"/>
          <w:szCs w:val="21"/>
          <w:lang w:val="en-US" w:eastAsia="zh-CN"/>
          <w14:textFill>
            <w14:solidFill>
              <w14:schemeClr w14:val="tx1"/>
            </w14:solidFill>
          </w14:textFill>
        </w:rPr>
        <w:t>保证外送</w:t>
      </w:r>
      <w:r>
        <w:rPr>
          <w:rFonts w:hint="eastAsia" w:ascii="宋体" w:hAnsi="宋体" w:eastAsia="宋体" w:cs="宋体"/>
          <w:color w:val="000000" w:themeColor="text1"/>
          <w:sz w:val="21"/>
          <w:szCs w:val="21"/>
          <w14:textFill>
            <w14:solidFill>
              <w14:schemeClr w14:val="tx1"/>
            </w14:solidFill>
          </w14:textFill>
        </w:rPr>
        <w:t>LIS系统可与医院的LIS对接，实现检验项目结果传输，支持回传pdf文件和报告结果文字形式</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方便检验项目的统一管理</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临床和患者在各个系统（包括互联网、手机等）查阅或打印检验报告。</w:t>
      </w:r>
    </w:p>
    <w:p w14:paraId="487FFBC1">
      <w:pPr>
        <w:numPr>
          <w:ilvl w:val="0"/>
          <w:numId w:val="0"/>
        </w:numP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2.2.11检验质量要求</w:t>
      </w:r>
    </w:p>
    <w:p w14:paraId="4250BE4D">
      <w:pPr>
        <w:numPr>
          <w:ilvl w:val="0"/>
          <w:numId w:val="0"/>
        </w:numP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提供盖章的检验质量保证条款（三甲要求），包括以下内容：</w:t>
      </w:r>
    </w:p>
    <w:p w14:paraId="0AB30C7D">
      <w:pPr>
        <w:pageBreakBefore w:val="0"/>
        <w:kinsoku/>
        <w:wordWrap/>
        <w:overflowPunct/>
        <w:topLinePunct w:val="0"/>
        <w:bidi w:val="0"/>
        <w:spacing w:line="360" w:lineRule="auto"/>
        <w:textAlignment w:val="auto"/>
        <w:rPr>
          <w:rFonts w:hint="eastAsia" w:ascii="宋体" w:hAnsi="宋体" w:eastAsia="宋体" w:cs="宋体"/>
          <w:color w:val="000000"/>
          <w:sz w:val="21"/>
          <w:szCs w:val="21"/>
        </w:rPr>
      </w:pPr>
      <w:r>
        <w:rPr>
          <w:rFonts w:hint="eastAsia" w:ascii="宋体" w:hAnsi="宋体" w:eastAsia="宋体" w:cs="宋体"/>
          <w:sz w:val="24"/>
          <w:szCs w:val="24"/>
          <w:lang w:val="en-US" w:eastAsia="zh-CN"/>
        </w:rPr>
        <w:t>2.2.11.1</w:t>
      </w:r>
      <w:r>
        <w:rPr>
          <w:rFonts w:hint="eastAsia" w:ascii="宋体" w:hAnsi="宋体" w:eastAsia="宋体" w:cs="宋体"/>
          <w:color w:val="000000"/>
          <w:sz w:val="21"/>
          <w:szCs w:val="21"/>
        </w:rPr>
        <w:t>每季度对</w:t>
      </w:r>
      <w:r>
        <w:rPr>
          <w:rFonts w:hint="eastAsia" w:ascii="宋体" w:hAnsi="宋体" w:eastAsia="宋体" w:cs="宋体"/>
          <w:color w:val="000000"/>
          <w:sz w:val="21"/>
          <w:szCs w:val="21"/>
          <w:lang w:val="en-US" w:eastAsia="zh-CN"/>
        </w:rPr>
        <w:t>外送公司</w:t>
      </w:r>
      <w:r>
        <w:rPr>
          <w:rFonts w:hint="eastAsia" w:ascii="宋体" w:hAnsi="宋体" w:eastAsia="宋体" w:cs="宋体"/>
          <w:color w:val="000000"/>
          <w:sz w:val="21"/>
          <w:szCs w:val="21"/>
        </w:rPr>
        <w:t>的服务质量进行季度考核并根据考核结果扣罚中标人的服务费，考核标准由采购人在签订合同时与中标人协商确定。</w:t>
      </w:r>
    </w:p>
    <w:p w14:paraId="0B4FC2C1">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2.2.11.</w:t>
      </w:r>
      <w:r>
        <w:rPr>
          <w:rFonts w:hint="eastAsia" w:cs="宋体"/>
          <w:sz w:val="21"/>
          <w:szCs w:val="21"/>
          <w:lang w:val="en-US" w:eastAsia="zh-CN"/>
        </w:rPr>
        <w:t>2对</w:t>
      </w:r>
      <w:r>
        <w:rPr>
          <w:rFonts w:hint="eastAsia" w:ascii="宋体" w:hAnsi="宋体" w:eastAsia="宋体" w:cs="宋体"/>
          <w:sz w:val="21"/>
          <w:szCs w:val="21"/>
        </w:rPr>
        <w:t>送检的合格样本结果进行负责，对于取材的合格样本，若因</w:t>
      </w:r>
      <w:r>
        <w:rPr>
          <w:rFonts w:hint="eastAsia" w:cs="宋体"/>
          <w:sz w:val="21"/>
          <w:szCs w:val="21"/>
          <w:lang w:val="en-US" w:eastAsia="zh-CN"/>
        </w:rPr>
        <w:t>外省公司</w:t>
      </w:r>
      <w:r>
        <w:rPr>
          <w:rFonts w:hint="eastAsia" w:ascii="宋体" w:hAnsi="宋体" w:eastAsia="宋体" w:cs="宋体"/>
          <w:sz w:val="21"/>
          <w:szCs w:val="21"/>
        </w:rPr>
        <w:t>原因导致检测结果存在质量问题，由</w:t>
      </w:r>
      <w:r>
        <w:rPr>
          <w:rFonts w:hint="eastAsia" w:cs="宋体"/>
          <w:sz w:val="21"/>
          <w:szCs w:val="21"/>
          <w:lang w:val="en-US" w:eastAsia="zh-CN"/>
        </w:rPr>
        <w:t>外送公司</w:t>
      </w:r>
      <w:r>
        <w:rPr>
          <w:rFonts w:hint="eastAsia" w:ascii="宋体" w:hAnsi="宋体" w:eastAsia="宋体" w:cs="宋体"/>
          <w:sz w:val="21"/>
          <w:szCs w:val="21"/>
        </w:rPr>
        <w:t>承担相关责任。</w:t>
      </w:r>
    </w:p>
    <w:p w14:paraId="12FA183E">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2.2.11.</w:t>
      </w:r>
      <w:r>
        <w:rPr>
          <w:rFonts w:hint="eastAsia" w:cs="宋体"/>
          <w:sz w:val="21"/>
          <w:szCs w:val="21"/>
          <w:lang w:val="en-US" w:eastAsia="zh-CN"/>
        </w:rPr>
        <w:t>3外送公司</w:t>
      </w:r>
      <w:r>
        <w:rPr>
          <w:rFonts w:hint="eastAsia" w:ascii="宋体" w:hAnsi="宋体" w:eastAsia="宋体" w:cs="宋体"/>
          <w:sz w:val="21"/>
          <w:szCs w:val="21"/>
        </w:rPr>
        <w:t>开展的项目进行室内质控，定期进行质控分析，及时对失控进行处理，保证检验结果的质量。</w:t>
      </w:r>
    </w:p>
    <w:p w14:paraId="70C14E02">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2.2.11.</w:t>
      </w:r>
      <w:r>
        <w:rPr>
          <w:rFonts w:hint="eastAsia" w:cs="宋体"/>
          <w:sz w:val="21"/>
          <w:szCs w:val="21"/>
          <w:lang w:val="en-US" w:eastAsia="zh-CN"/>
        </w:rPr>
        <w:t>4外送公司</w:t>
      </w:r>
      <w:r>
        <w:rPr>
          <w:rFonts w:hint="eastAsia" w:ascii="宋体" w:hAnsi="宋体" w:eastAsia="宋体" w:cs="宋体"/>
          <w:sz w:val="21"/>
          <w:szCs w:val="21"/>
        </w:rPr>
        <w:t>参加国家卫健委或省卫健委委室间质评，每半年提供委托项目的能力验证活动报告，没有能力验证的检验项目应提供结果一致性的证据。</w:t>
      </w:r>
    </w:p>
    <w:p w14:paraId="5AA1C08E">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2.2.11.</w:t>
      </w:r>
      <w:r>
        <w:rPr>
          <w:rFonts w:hint="eastAsia" w:cs="宋体"/>
          <w:sz w:val="21"/>
          <w:szCs w:val="21"/>
          <w:lang w:val="en-US" w:eastAsia="zh-CN"/>
        </w:rPr>
        <w:t>5</w:t>
      </w:r>
      <w:r>
        <w:rPr>
          <w:rFonts w:hint="eastAsia" w:cs="宋体"/>
          <w:sz w:val="21"/>
          <w:szCs w:val="21"/>
          <w:lang w:eastAsia="zh-CN"/>
        </w:rPr>
        <w:t>外送公司</w:t>
      </w:r>
      <w:r>
        <w:rPr>
          <w:rFonts w:hint="eastAsia" w:ascii="宋体" w:hAnsi="宋体" w:eastAsia="宋体" w:cs="宋体"/>
          <w:sz w:val="21"/>
          <w:szCs w:val="21"/>
        </w:rPr>
        <w:t>有专人负责采购人业务及质量、技术、培训等工作。</w:t>
      </w:r>
    </w:p>
    <w:p w14:paraId="1098132E">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2.2.11.</w:t>
      </w:r>
      <w:r>
        <w:rPr>
          <w:rFonts w:hint="eastAsia" w:cs="宋体"/>
          <w:sz w:val="21"/>
          <w:szCs w:val="21"/>
          <w:lang w:val="en-US" w:eastAsia="zh-CN"/>
        </w:rPr>
        <w:t>6</w:t>
      </w:r>
      <w:r>
        <w:rPr>
          <w:rFonts w:hint="eastAsia" w:ascii="宋体" w:hAnsi="宋体" w:eastAsia="宋体" w:cs="宋体"/>
          <w:sz w:val="21"/>
          <w:szCs w:val="21"/>
        </w:rPr>
        <w:t>对于样本周转时间（TAT）的要求：</w:t>
      </w:r>
    </w:p>
    <w:p w14:paraId="273E2F05">
      <w:pPr>
        <w:pStyle w:val="4"/>
        <w:pageBreakBefore w:val="0"/>
        <w:kinsoku/>
        <w:wordWrap/>
        <w:overflowPunct/>
        <w:topLinePunct w:val="0"/>
        <w:bidi w:val="0"/>
        <w:spacing w:before="0" w:beforeAutospacing="0" w:after="0" w:afterAutospacing="0" w:line="360" w:lineRule="auto"/>
        <w:jc w:val="both"/>
        <w:textAlignment w:val="auto"/>
        <w:rPr>
          <w:rFonts w:hint="eastAsia" w:ascii="宋体" w:hAnsi="宋体" w:eastAsia="宋体" w:cs="宋体"/>
          <w:sz w:val="21"/>
          <w:szCs w:val="21"/>
        </w:rPr>
      </w:pPr>
      <w:r>
        <w:rPr>
          <w:rFonts w:hint="eastAsia" w:ascii="宋体" w:hAnsi="宋体" w:eastAsia="宋体" w:cs="宋体"/>
          <w:sz w:val="21"/>
          <w:szCs w:val="21"/>
        </w:rPr>
        <w:t>有明确的样本送检和报告发布时间服务承诺。检测报告需按照</w:t>
      </w:r>
      <w:r>
        <w:rPr>
          <w:rFonts w:hint="eastAsia" w:cs="宋体"/>
          <w:sz w:val="21"/>
          <w:szCs w:val="21"/>
          <w:lang w:eastAsia="zh-CN"/>
        </w:rPr>
        <w:t>外送公司</w:t>
      </w:r>
      <w:r>
        <w:rPr>
          <w:rFonts w:hint="eastAsia" w:ascii="宋体" w:hAnsi="宋体" w:eastAsia="宋体" w:cs="宋体"/>
          <w:sz w:val="21"/>
          <w:szCs w:val="21"/>
        </w:rPr>
        <w:t>提供的《检测项目手册》规定的出报告时间出具。样本周转时间起点为委托检测单位接收样本，终点为我院检验科收到检验报告。</w:t>
      </w:r>
      <w:r>
        <w:rPr>
          <w:rFonts w:hint="eastAsia" w:ascii="宋体" w:hAnsi="宋体" w:eastAsia="宋体" w:cs="宋体"/>
          <w:color w:val="000000" w:themeColor="text1"/>
          <w:sz w:val="21"/>
          <w:szCs w:val="21"/>
          <w14:textFill>
            <w14:solidFill>
              <w14:schemeClr w14:val="tx1"/>
            </w14:solidFill>
          </w14:textFill>
        </w:rPr>
        <w:t>需按照公开的诊断项目本的报告时间内为采购人出具检验报告。</w:t>
      </w:r>
      <w:r>
        <w:rPr>
          <w:rFonts w:hint="eastAsia" w:ascii="宋体" w:hAnsi="宋体" w:eastAsia="宋体" w:cs="宋体"/>
          <w:sz w:val="21"/>
          <w:szCs w:val="21"/>
        </w:rPr>
        <w:t>出现特殊情况，导致不能按时发出报告，须通知采购人。</w:t>
      </w:r>
    </w:p>
    <w:p w14:paraId="732F900C">
      <w:pPr>
        <w:numPr>
          <w:ilvl w:val="0"/>
          <w:numId w:val="0"/>
        </w:num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2.2.11.7危急值管理</w:t>
      </w:r>
    </w:p>
    <w:p w14:paraId="7EED9491">
      <w:pPr>
        <w:numPr>
          <w:ilvl w:val="0"/>
          <w:numId w:val="0"/>
        </w:num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提供危急值项目清单、出现危急值通过电话、微信等方式第一时间通知到检验科</w:t>
      </w:r>
    </w:p>
    <w:p w14:paraId="762A716B">
      <w:pPr>
        <w:numPr>
          <w:ilvl w:val="0"/>
          <w:numId w:val="0"/>
        </w:num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2.2.11.8对于暂时没有医保收费代码的特殊精神专科项目，可以提供互联网医院等新模式合作方案。</w:t>
      </w:r>
    </w:p>
    <w:p w14:paraId="17B3ED6B">
      <w:pPr>
        <w:numPr>
          <w:ilvl w:val="0"/>
          <w:numId w:val="0"/>
        </w:num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2.3服务能力</w:t>
      </w:r>
    </w:p>
    <w:p w14:paraId="2A939A2B">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snapToGrid w:val="0"/>
          <w:color w:val="000000" w:themeColor="text1"/>
          <w:sz w:val="21"/>
          <w:szCs w:val="21"/>
          <w14:textFill>
            <w14:solidFill>
              <w14:schemeClr w14:val="tx1"/>
            </w14:solidFill>
          </w14:textFill>
        </w:rPr>
      </w:pPr>
      <w:r>
        <w:rPr>
          <w:rFonts w:hint="eastAsia" w:ascii="宋体" w:hAnsi="宋体" w:eastAsia="宋体" w:cs="宋体"/>
          <w:snapToGrid w:val="0"/>
          <w:color w:val="000000" w:themeColor="text1"/>
          <w:sz w:val="21"/>
          <w:szCs w:val="21"/>
          <w:lang w:val="en-US" w:eastAsia="zh-CN"/>
          <w14:textFill>
            <w14:solidFill>
              <w14:schemeClr w14:val="tx1"/>
            </w14:solidFill>
          </w14:textFill>
        </w:rPr>
        <w:t>2.3.1</w:t>
      </w:r>
      <w:r>
        <w:rPr>
          <w:rFonts w:hint="eastAsia" w:ascii="宋体" w:hAnsi="宋体" w:eastAsia="宋体" w:cs="宋体"/>
          <w:snapToGrid w:val="0"/>
          <w:color w:val="000000" w:themeColor="text1"/>
          <w:sz w:val="21"/>
          <w:szCs w:val="21"/>
          <w:lang w:eastAsia="zh-CN"/>
          <w14:textFill>
            <w14:solidFill>
              <w14:schemeClr w14:val="tx1"/>
            </w14:solidFill>
          </w14:textFill>
        </w:rPr>
        <w:t>外送公司</w:t>
      </w:r>
      <w:r>
        <w:rPr>
          <w:rFonts w:hint="eastAsia" w:ascii="宋体" w:hAnsi="宋体" w:eastAsia="宋体" w:cs="宋体"/>
          <w:snapToGrid w:val="0"/>
          <w:color w:val="000000" w:themeColor="text1"/>
          <w:sz w:val="21"/>
          <w:szCs w:val="21"/>
          <w14:textFill>
            <w14:solidFill>
              <w14:schemeClr w14:val="tx1"/>
            </w14:solidFill>
          </w14:textFill>
        </w:rPr>
        <w:t>需安排专人每周一至周六定时前往医院收取标本的服务，时间为8:30-17:30。遇特殊标本可机动收取。</w:t>
      </w:r>
    </w:p>
    <w:p w14:paraId="2DB3AA0B">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snapToGrid w:val="0"/>
          <w:color w:val="000000" w:themeColor="text1"/>
          <w:sz w:val="21"/>
          <w:szCs w:val="21"/>
          <w14:textFill>
            <w14:solidFill>
              <w14:schemeClr w14:val="tx1"/>
            </w14:solidFill>
          </w14:textFill>
        </w:rPr>
      </w:pPr>
      <w:r>
        <w:rPr>
          <w:rFonts w:hint="eastAsia" w:ascii="宋体" w:hAnsi="宋体" w:eastAsia="宋体" w:cs="宋体"/>
          <w:snapToGrid w:val="0"/>
          <w:color w:val="000000" w:themeColor="text1"/>
          <w:sz w:val="21"/>
          <w:szCs w:val="21"/>
          <w:lang w:val="en-US" w:eastAsia="zh-CN"/>
          <w14:textFill>
            <w14:solidFill>
              <w14:schemeClr w14:val="tx1"/>
            </w14:solidFill>
          </w14:textFill>
        </w:rPr>
        <w:t>2.3.2</w:t>
      </w:r>
      <w:r>
        <w:rPr>
          <w:rFonts w:hint="eastAsia" w:ascii="宋体" w:hAnsi="宋体" w:eastAsia="宋体" w:cs="宋体"/>
          <w:snapToGrid w:val="0"/>
          <w:color w:val="000000" w:themeColor="text1"/>
          <w:sz w:val="21"/>
          <w:szCs w:val="21"/>
          <w14:textFill>
            <w14:solidFill>
              <w14:schemeClr w14:val="tx1"/>
            </w14:solidFill>
          </w14:textFill>
        </w:rPr>
        <w:t>免费提供特殊检查项目所需要的相关耗材、知情同意书、专用申请单等。</w:t>
      </w:r>
    </w:p>
    <w:p w14:paraId="4E111C7D">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snapToGrid w:val="0"/>
          <w:color w:val="000000" w:themeColor="text1"/>
          <w:sz w:val="21"/>
          <w:szCs w:val="21"/>
          <w14:textFill>
            <w14:solidFill>
              <w14:schemeClr w14:val="tx1"/>
            </w14:solidFill>
          </w14:textFill>
        </w:rPr>
      </w:pPr>
      <w:r>
        <w:rPr>
          <w:rFonts w:hint="eastAsia" w:ascii="宋体" w:hAnsi="宋体" w:eastAsia="宋体" w:cs="宋体"/>
          <w:snapToGrid w:val="0"/>
          <w:color w:val="000000" w:themeColor="text1"/>
          <w:sz w:val="21"/>
          <w:szCs w:val="21"/>
          <w:lang w:val="en-US" w:eastAsia="zh-CN"/>
          <w14:textFill>
            <w14:solidFill>
              <w14:schemeClr w14:val="tx1"/>
            </w14:solidFill>
          </w14:textFill>
        </w:rPr>
        <w:t>2.3.3</w:t>
      </w:r>
      <w:r>
        <w:rPr>
          <w:rFonts w:hint="eastAsia" w:ascii="宋体" w:hAnsi="宋体" w:eastAsia="宋体" w:cs="宋体"/>
          <w:snapToGrid w:val="0"/>
          <w:color w:val="000000" w:themeColor="text1"/>
          <w:sz w:val="21"/>
          <w:szCs w:val="21"/>
          <w:lang w:eastAsia="zh-CN"/>
          <w14:textFill>
            <w14:solidFill>
              <w14:schemeClr w14:val="tx1"/>
            </w14:solidFill>
          </w14:textFill>
        </w:rPr>
        <w:t>外送公司</w:t>
      </w:r>
      <w:r>
        <w:rPr>
          <w:rFonts w:hint="eastAsia" w:ascii="宋体" w:hAnsi="宋体" w:eastAsia="宋体" w:cs="宋体"/>
          <w:snapToGrid w:val="0"/>
          <w:color w:val="000000" w:themeColor="text1"/>
          <w:sz w:val="21"/>
          <w:szCs w:val="21"/>
          <w14:textFill>
            <w14:solidFill>
              <w14:schemeClr w14:val="tx1"/>
            </w14:solidFill>
          </w14:textFill>
        </w:rPr>
        <w:t>配备完善医疗物流系统，保证标本接收、送检运输过程的安全与规范，保证标本的检测前质量。标本</w:t>
      </w:r>
      <w:r>
        <w:rPr>
          <w:rFonts w:hint="eastAsia" w:ascii="宋体" w:hAnsi="宋体" w:eastAsia="宋体" w:cs="宋体"/>
          <w:color w:val="000000" w:themeColor="text1"/>
          <w:sz w:val="21"/>
          <w:szCs w:val="21"/>
          <w14:textFill>
            <w14:solidFill>
              <w14:schemeClr w14:val="tx1"/>
            </w14:solidFill>
          </w14:textFill>
        </w:rPr>
        <w:t>运输须要求直立、冷藏、封闭，符合生物安全要求，确保运输过程的样品质量和环境安全。对于需低温冷冻或有特殊要求的样本视具体项目与采购人商定。</w:t>
      </w:r>
    </w:p>
    <w:p w14:paraId="0852A9A7">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snapToGrid w:val="0"/>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2.3.4</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具备货物运输条件鉴定书。</w:t>
      </w:r>
    </w:p>
    <w:p w14:paraId="08E278C5">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napToGrid w:val="0"/>
          <w:color w:val="000000" w:themeColor="text1"/>
          <w:sz w:val="21"/>
          <w:szCs w:val="21"/>
          <w:lang w:val="en-US" w:eastAsia="zh-CN"/>
          <w14:textFill>
            <w14:solidFill>
              <w14:schemeClr w14:val="tx1"/>
            </w14:solidFill>
          </w14:textFill>
        </w:rPr>
        <w:t>2.3.5</w:t>
      </w:r>
      <w:r>
        <w:rPr>
          <w:rFonts w:hint="eastAsia" w:ascii="宋体" w:hAnsi="宋体" w:eastAsia="宋体" w:cs="宋体"/>
          <w:snapToGrid w:val="0"/>
          <w:color w:val="000000" w:themeColor="text1"/>
          <w:sz w:val="21"/>
          <w:szCs w:val="21"/>
          <w14:textFill>
            <w14:solidFill>
              <w14:schemeClr w14:val="tx1"/>
            </w14:solidFill>
          </w14:textFill>
        </w:rPr>
        <w:t>未经采购人同意，不得将采购人标本用于他用。</w:t>
      </w:r>
    </w:p>
    <w:p w14:paraId="1761964C">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2.3.6</w:t>
      </w:r>
      <w:r>
        <w:rPr>
          <w:rFonts w:hint="eastAsia" w:ascii="宋体" w:hAnsi="宋体" w:eastAsia="宋体" w:cs="宋体"/>
          <w:color w:val="000000" w:themeColor="text1"/>
          <w:sz w:val="21"/>
          <w:szCs w:val="21"/>
          <w14:textFill>
            <w14:solidFill>
              <w14:schemeClr w14:val="tx1"/>
            </w14:solidFill>
          </w14:textFill>
        </w:rPr>
        <w:t>有为用户保密的义务，未经同意不得向第三方泄露委托检验的项目、检验的内容、检验的结果。</w:t>
      </w:r>
    </w:p>
    <w:p w14:paraId="5D2FED17">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2.3.7</w:t>
      </w:r>
      <w:r>
        <w:rPr>
          <w:rFonts w:hint="eastAsia" w:ascii="宋体" w:hAnsi="宋体" w:eastAsia="宋体" w:cs="宋体"/>
          <w:color w:val="000000" w:themeColor="text1"/>
          <w:sz w:val="21"/>
          <w:szCs w:val="21"/>
          <w14:textFill>
            <w14:solidFill>
              <w14:schemeClr w14:val="tx1"/>
            </w14:solidFill>
          </w14:textFill>
        </w:rPr>
        <w:t>检测样本、检测数据的所有权、使用权为用户所有，未经许可不得挪作它用。能够按照国家、按用户要求妥善保存及销毁检验后样本。</w:t>
      </w:r>
    </w:p>
    <w:p w14:paraId="70146D4A">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2.3.8</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必须保证检验结果的公正性，不受任何诱使或压力的对检验结果进行修正及更改。</w:t>
      </w:r>
    </w:p>
    <w:p w14:paraId="173A4577">
      <w:pPr>
        <w:pageBreakBefore w:val="0"/>
        <w:numPr>
          <w:ilvl w:val="0"/>
          <w:numId w:val="0"/>
        </w:numPr>
        <w:kinsoku/>
        <w:wordWrap/>
        <w:overflowPunct/>
        <w:topLinePunct w:val="0"/>
        <w:bidi w:val="0"/>
        <w:spacing w:line="360" w:lineRule="auto"/>
        <w:ind w:left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2.3.9</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建立快速的客户服务反应机制，如有针对</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或采购人与</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双方的投诉或需处理的情况，</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应派代表在半日内到达医院及时沟通处理；若主要针对采购人的投诉或需处理的情况，</w:t>
      </w:r>
      <w:r>
        <w:rPr>
          <w:rFonts w:hint="eastAsia" w:ascii="宋体" w:hAnsi="宋体" w:eastAsia="宋体" w:cs="宋体"/>
          <w:color w:val="000000" w:themeColor="text1"/>
          <w:sz w:val="21"/>
          <w:szCs w:val="21"/>
          <w:lang w:eastAsia="zh-CN"/>
          <w14:textFill>
            <w14:solidFill>
              <w14:schemeClr w14:val="tx1"/>
            </w14:solidFill>
          </w14:textFill>
        </w:rPr>
        <w:t>外送公司</w:t>
      </w:r>
      <w:r>
        <w:rPr>
          <w:rFonts w:hint="eastAsia" w:ascii="宋体" w:hAnsi="宋体" w:eastAsia="宋体" w:cs="宋体"/>
          <w:color w:val="000000" w:themeColor="text1"/>
          <w:sz w:val="21"/>
          <w:szCs w:val="21"/>
          <w14:textFill>
            <w14:solidFill>
              <w14:schemeClr w14:val="tx1"/>
            </w14:solidFill>
          </w14:textFill>
        </w:rPr>
        <w:t>有义务协助采购人及时沟通处理。</w:t>
      </w:r>
    </w:p>
    <w:p w14:paraId="5BCB1E54">
      <w:pPr>
        <w:pageBreakBefore w:val="0"/>
        <w:numPr>
          <w:ilvl w:val="0"/>
          <w:numId w:val="1"/>
        </w:numPr>
        <w:kinsoku/>
        <w:wordWrap/>
        <w:overflowPunct/>
        <w:topLinePunct w:val="0"/>
        <w:bidi w:val="0"/>
        <w:spacing w:line="360" w:lineRule="auto"/>
        <w:ind w:left="0" w:leftChars="0" w:firstLine="0" w:firstLineChars="0"/>
        <w:textAlignment w:val="auto"/>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参考评分细则</w:t>
      </w:r>
    </w:p>
    <w:tbl>
      <w:tblPr>
        <w:tblStyle w:val="5"/>
        <w:tblW w:w="6079" w:type="pct"/>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30" w:type="dxa"/>
          <w:bottom w:w="0" w:type="dxa"/>
          <w:right w:w="30" w:type="dxa"/>
        </w:tblCellMar>
      </w:tblPr>
      <w:tblGrid>
        <w:gridCol w:w="77"/>
        <w:gridCol w:w="745"/>
        <w:gridCol w:w="1086"/>
        <w:gridCol w:w="124"/>
        <w:gridCol w:w="875"/>
        <w:gridCol w:w="1212"/>
        <w:gridCol w:w="2089"/>
        <w:gridCol w:w="3322"/>
        <w:gridCol w:w="641"/>
      </w:tblGrid>
      <w:tr w14:paraId="12D5C0E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gridBefore w:val="1"/>
          <w:gridAfter w:val="1"/>
          <w:wBefore w:w="38" w:type="pct"/>
          <w:wAfter w:w="313" w:type="pct"/>
          <w:trHeight w:val="567" w:hRule="exact"/>
          <w:jc w:val="center"/>
        </w:trPr>
        <w:tc>
          <w:tcPr>
            <w:tcW w:w="900" w:type="pct"/>
            <w:gridSpan w:val="2"/>
            <w:tcBorders>
              <w:top w:val="single" w:color="auto" w:sz="12" w:space="0"/>
              <w:bottom w:val="single" w:color="auto" w:sz="2" w:space="0"/>
            </w:tcBorders>
            <w:vAlign w:val="center"/>
          </w:tcPr>
          <w:p w14:paraId="66A0CE15">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b/>
                <w:kern w:val="0"/>
                <w:sz w:val="24"/>
                <w:szCs w:val="24"/>
                <w:lang w:val="zh-CN"/>
              </w:rPr>
            </w:pPr>
            <w:r>
              <w:rPr>
                <w:rFonts w:hint="eastAsia" w:ascii="宋体" w:hAnsi="宋体" w:eastAsia="宋体" w:cs="宋体"/>
                <w:b/>
                <w:kern w:val="0"/>
                <w:sz w:val="24"/>
                <w:szCs w:val="24"/>
                <w:lang w:val="zh-CN"/>
              </w:rPr>
              <w:t>内容</w:t>
            </w:r>
          </w:p>
        </w:tc>
        <w:tc>
          <w:tcPr>
            <w:tcW w:w="1087" w:type="pct"/>
            <w:gridSpan w:val="3"/>
            <w:tcBorders>
              <w:top w:val="single" w:color="auto" w:sz="12" w:space="0"/>
              <w:bottom w:val="single" w:color="auto" w:sz="2" w:space="0"/>
            </w:tcBorders>
            <w:vAlign w:val="center"/>
          </w:tcPr>
          <w:p w14:paraId="3E4D4DAC">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b/>
                <w:kern w:val="0"/>
                <w:sz w:val="24"/>
                <w:szCs w:val="24"/>
                <w:lang w:val="zh-CN"/>
              </w:rPr>
            </w:pPr>
            <w:r>
              <w:rPr>
                <w:rFonts w:hint="eastAsia" w:ascii="宋体" w:hAnsi="宋体" w:eastAsia="宋体" w:cs="宋体"/>
                <w:b/>
                <w:kern w:val="0"/>
                <w:sz w:val="24"/>
                <w:szCs w:val="24"/>
                <w:lang w:val="zh-CN"/>
              </w:rPr>
              <w:t>商务部分</w:t>
            </w:r>
          </w:p>
        </w:tc>
        <w:tc>
          <w:tcPr>
            <w:tcW w:w="1027" w:type="pct"/>
            <w:tcBorders>
              <w:top w:val="single" w:color="auto" w:sz="12" w:space="0"/>
              <w:bottom w:val="single" w:color="auto" w:sz="2" w:space="0"/>
            </w:tcBorders>
            <w:vAlign w:val="center"/>
          </w:tcPr>
          <w:p w14:paraId="42A5B5F8">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b/>
                <w:kern w:val="0"/>
                <w:sz w:val="24"/>
                <w:szCs w:val="24"/>
                <w:lang w:val="zh-CN"/>
              </w:rPr>
            </w:pPr>
            <w:r>
              <w:rPr>
                <w:rFonts w:hint="eastAsia" w:ascii="宋体" w:hAnsi="宋体" w:eastAsia="宋体" w:cs="宋体"/>
                <w:b/>
                <w:kern w:val="0"/>
                <w:sz w:val="24"/>
                <w:szCs w:val="24"/>
                <w:lang w:val="zh-CN"/>
              </w:rPr>
              <w:t>服务部分</w:t>
            </w:r>
          </w:p>
        </w:tc>
        <w:tc>
          <w:tcPr>
            <w:tcW w:w="1633" w:type="pct"/>
            <w:tcBorders>
              <w:top w:val="single" w:color="auto" w:sz="12" w:space="0"/>
              <w:bottom w:val="single" w:color="auto" w:sz="2" w:space="0"/>
            </w:tcBorders>
            <w:vAlign w:val="center"/>
          </w:tcPr>
          <w:p w14:paraId="29026E76">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b/>
                <w:kern w:val="0"/>
                <w:sz w:val="24"/>
                <w:szCs w:val="24"/>
                <w:lang w:val="zh-CN"/>
              </w:rPr>
            </w:pPr>
            <w:r>
              <w:rPr>
                <w:rFonts w:hint="eastAsia" w:ascii="宋体" w:hAnsi="宋体" w:eastAsia="宋体" w:cs="宋体"/>
                <w:b/>
                <w:kern w:val="0"/>
                <w:sz w:val="24"/>
                <w:szCs w:val="24"/>
                <w:lang w:val="zh-CN"/>
              </w:rPr>
              <w:t>价格部分</w:t>
            </w:r>
          </w:p>
        </w:tc>
      </w:tr>
      <w:tr w14:paraId="40F15D7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gridBefore w:val="1"/>
          <w:gridAfter w:val="1"/>
          <w:wBefore w:w="38" w:type="pct"/>
          <w:wAfter w:w="313" w:type="pct"/>
          <w:trHeight w:val="567" w:hRule="exact"/>
          <w:jc w:val="center"/>
        </w:trPr>
        <w:tc>
          <w:tcPr>
            <w:tcW w:w="900" w:type="pct"/>
            <w:gridSpan w:val="2"/>
            <w:tcBorders>
              <w:top w:val="single" w:color="auto" w:sz="2" w:space="0"/>
            </w:tcBorders>
            <w:vAlign w:val="center"/>
          </w:tcPr>
          <w:p w14:paraId="131B0AA9">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权重</w:t>
            </w:r>
          </w:p>
        </w:tc>
        <w:tc>
          <w:tcPr>
            <w:tcW w:w="1087" w:type="pct"/>
            <w:gridSpan w:val="3"/>
            <w:tcBorders>
              <w:top w:val="single" w:color="auto" w:sz="2" w:space="0"/>
            </w:tcBorders>
            <w:vAlign w:val="center"/>
          </w:tcPr>
          <w:p w14:paraId="4ABC95F1">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25</w:t>
            </w:r>
            <w:r>
              <w:rPr>
                <w:rFonts w:hint="eastAsia" w:ascii="宋体" w:hAnsi="宋体" w:eastAsia="宋体" w:cs="宋体"/>
                <w:kern w:val="0"/>
                <w:sz w:val="24"/>
                <w:szCs w:val="24"/>
                <w:lang w:val="zh-CN"/>
              </w:rPr>
              <w:t>%</w:t>
            </w:r>
          </w:p>
        </w:tc>
        <w:tc>
          <w:tcPr>
            <w:tcW w:w="1027" w:type="pct"/>
            <w:tcBorders>
              <w:top w:val="single" w:color="auto" w:sz="2" w:space="0"/>
            </w:tcBorders>
            <w:vAlign w:val="center"/>
          </w:tcPr>
          <w:p w14:paraId="30EF5DA1">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65</w:t>
            </w:r>
            <w:r>
              <w:rPr>
                <w:rFonts w:hint="eastAsia" w:ascii="宋体" w:hAnsi="宋体" w:eastAsia="宋体" w:cs="宋体"/>
                <w:kern w:val="0"/>
                <w:sz w:val="24"/>
                <w:szCs w:val="24"/>
                <w:lang w:val="zh-CN"/>
              </w:rPr>
              <w:t>%</w:t>
            </w:r>
          </w:p>
        </w:tc>
        <w:tc>
          <w:tcPr>
            <w:tcW w:w="1633" w:type="pct"/>
            <w:tcBorders>
              <w:top w:val="single" w:color="auto" w:sz="2" w:space="0"/>
            </w:tcBorders>
            <w:vAlign w:val="center"/>
          </w:tcPr>
          <w:p w14:paraId="3F6E0BF4">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10%</w:t>
            </w:r>
          </w:p>
        </w:tc>
      </w:tr>
      <w:tr w14:paraId="64F276F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gridBefore w:val="1"/>
          <w:gridAfter w:val="1"/>
          <w:wBefore w:w="38" w:type="pct"/>
          <w:wAfter w:w="313" w:type="pct"/>
          <w:trHeight w:val="567" w:hRule="exact"/>
          <w:jc w:val="center"/>
        </w:trPr>
        <w:tc>
          <w:tcPr>
            <w:tcW w:w="900" w:type="pct"/>
            <w:gridSpan w:val="2"/>
            <w:vAlign w:val="center"/>
          </w:tcPr>
          <w:p w14:paraId="489BC132">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分值</w:t>
            </w:r>
          </w:p>
        </w:tc>
        <w:tc>
          <w:tcPr>
            <w:tcW w:w="1087" w:type="pct"/>
            <w:gridSpan w:val="3"/>
            <w:vAlign w:val="center"/>
          </w:tcPr>
          <w:p w14:paraId="2EC27E14">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25</w:t>
            </w:r>
            <w:r>
              <w:rPr>
                <w:rFonts w:hint="eastAsia" w:ascii="宋体" w:hAnsi="宋体" w:eastAsia="宋体" w:cs="宋体"/>
                <w:kern w:val="0"/>
                <w:sz w:val="24"/>
                <w:szCs w:val="24"/>
                <w:lang w:val="zh-CN"/>
              </w:rPr>
              <w:t>分</w:t>
            </w:r>
          </w:p>
        </w:tc>
        <w:tc>
          <w:tcPr>
            <w:tcW w:w="1027" w:type="pct"/>
            <w:vAlign w:val="center"/>
          </w:tcPr>
          <w:p w14:paraId="20045E3D">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65</w:t>
            </w:r>
            <w:r>
              <w:rPr>
                <w:rFonts w:hint="eastAsia" w:ascii="宋体" w:hAnsi="宋体" w:eastAsia="宋体" w:cs="宋体"/>
                <w:kern w:val="0"/>
                <w:sz w:val="24"/>
                <w:szCs w:val="24"/>
                <w:lang w:val="zh-CN"/>
              </w:rPr>
              <w:t>分</w:t>
            </w:r>
          </w:p>
        </w:tc>
        <w:tc>
          <w:tcPr>
            <w:tcW w:w="1633" w:type="pct"/>
            <w:vAlign w:val="center"/>
          </w:tcPr>
          <w:p w14:paraId="19F68811">
            <w:pPr>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10分</w:t>
            </w:r>
          </w:p>
        </w:tc>
      </w:tr>
      <w:tr w14:paraId="78DE6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38" w:type="pct"/>
          <w:wAfter w:w="313" w:type="pct"/>
          <w:trHeight w:val="483" w:hRule="atLeast"/>
          <w:jc w:val="center"/>
        </w:trPr>
        <w:tc>
          <w:tcPr>
            <w:tcW w:w="900" w:type="pct"/>
            <w:gridSpan w:val="2"/>
            <w:vAlign w:val="center"/>
          </w:tcPr>
          <w:p w14:paraId="329570C0">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087" w:type="pct"/>
            <w:gridSpan w:val="3"/>
            <w:vAlign w:val="center"/>
          </w:tcPr>
          <w:p w14:paraId="1A5FC230">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评分内容</w:t>
            </w:r>
          </w:p>
        </w:tc>
        <w:tc>
          <w:tcPr>
            <w:tcW w:w="1027" w:type="pct"/>
            <w:vAlign w:val="center"/>
          </w:tcPr>
          <w:p w14:paraId="68D84F3F">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分值</w:t>
            </w:r>
          </w:p>
        </w:tc>
        <w:tc>
          <w:tcPr>
            <w:tcW w:w="1633" w:type="pct"/>
            <w:vAlign w:val="center"/>
          </w:tcPr>
          <w:p w14:paraId="5389C917">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评审标准</w:t>
            </w:r>
          </w:p>
        </w:tc>
      </w:tr>
      <w:tr w14:paraId="4BAAE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5000" w:type="pct"/>
            <w:gridSpan w:val="9"/>
            <w:vAlign w:val="center"/>
          </w:tcPr>
          <w:p w14:paraId="1A7881D6">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商务评审细则（</w:t>
            </w:r>
            <w:r>
              <w:rPr>
                <w:rFonts w:hint="eastAsia" w:ascii="宋体" w:eastAsia="宋体" w:cs="宋体"/>
                <w:b/>
                <w:color w:val="auto"/>
                <w:sz w:val="24"/>
                <w:szCs w:val="24"/>
                <w:lang w:val="en-US" w:eastAsia="zh-CN"/>
              </w:rPr>
              <w:t>25</w:t>
            </w:r>
            <w:r>
              <w:rPr>
                <w:rFonts w:hint="eastAsia" w:ascii="宋体" w:hAnsi="宋体" w:eastAsia="宋体" w:cs="宋体"/>
                <w:b/>
                <w:color w:val="auto"/>
                <w:sz w:val="24"/>
                <w:szCs w:val="24"/>
              </w:rPr>
              <w:t>分）</w:t>
            </w:r>
          </w:p>
        </w:tc>
      </w:tr>
      <w:tr w14:paraId="3C7FD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404" w:type="pct"/>
            <w:gridSpan w:val="2"/>
            <w:vAlign w:val="center"/>
          </w:tcPr>
          <w:p w14:paraId="65CA942D">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95" w:type="pct"/>
            <w:gridSpan w:val="2"/>
            <w:vAlign w:val="center"/>
          </w:tcPr>
          <w:p w14:paraId="1659C0D6">
            <w:pPr>
              <w:pageBreakBefore w:val="0"/>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同类项目业绩情况</w:t>
            </w:r>
          </w:p>
        </w:tc>
        <w:tc>
          <w:tcPr>
            <w:tcW w:w="430" w:type="pct"/>
            <w:vAlign w:val="center"/>
          </w:tcPr>
          <w:p w14:paraId="3FC40D88">
            <w:pPr>
              <w:pageBreakBefore w:val="0"/>
              <w:widowControl/>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9</w:t>
            </w:r>
            <w:r>
              <w:rPr>
                <w:rFonts w:hint="eastAsia" w:ascii="宋体" w:hAnsi="宋体" w:eastAsia="宋体" w:cs="宋体"/>
                <w:bCs/>
                <w:color w:val="auto"/>
                <w:sz w:val="24"/>
                <w:szCs w:val="24"/>
              </w:rPr>
              <w:t>分</w:t>
            </w:r>
          </w:p>
        </w:tc>
        <w:tc>
          <w:tcPr>
            <w:tcW w:w="3570" w:type="pct"/>
            <w:gridSpan w:val="4"/>
            <w:vAlign w:val="center"/>
          </w:tcPr>
          <w:p w14:paraId="250D72CD">
            <w:pPr>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投标人提供202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年至今承接过</w:t>
            </w:r>
            <w:r>
              <w:rPr>
                <w:rFonts w:hint="eastAsia" w:ascii="宋体" w:hAnsi="宋体" w:eastAsia="宋体" w:cs="宋体"/>
                <w:color w:val="auto"/>
                <w:sz w:val="24"/>
                <w:szCs w:val="24"/>
                <w:lang w:val="en-US" w:eastAsia="zh-CN"/>
              </w:rPr>
              <w:t>同</w:t>
            </w:r>
            <w:r>
              <w:rPr>
                <w:rFonts w:hint="eastAsia" w:ascii="宋体" w:hAnsi="宋体" w:eastAsia="宋体" w:cs="宋体"/>
                <w:color w:val="auto"/>
                <w:sz w:val="24"/>
                <w:szCs w:val="24"/>
              </w:rPr>
              <w:t>类项目业绩(包括</w:t>
            </w:r>
            <w:r>
              <w:rPr>
                <w:rFonts w:hint="eastAsia" w:ascii="宋体" w:hAnsi="宋体" w:eastAsia="宋体" w:cs="宋体"/>
                <w:color w:val="auto"/>
                <w:sz w:val="24"/>
                <w:szCs w:val="24"/>
                <w:lang w:val="en-US" w:eastAsia="zh-CN"/>
              </w:rPr>
              <w:t>检验</w:t>
            </w:r>
            <w:r>
              <w:rPr>
                <w:rFonts w:hint="eastAsia" w:ascii="宋体" w:hAnsi="宋体" w:eastAsia="宋体" w:cs="宋体"/>
                <w:color w:val="auto"/>
                <w:sz w:val="24"/>
                <w:szCs w:val="24"/>
              </w:rPr>
              <w:t>外送)，每提供一个得1分，最高得</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分。</w:t>
            </w:r>
          </w:p>
          <w:p w14:paraId="3D1E296E">
            <w:pPr>
              <w:pageBreakBefore w:val="0"/>
              <w:kinsoku/>
              <w:wordWrap/>
              <w:overflowPunct/>
              <w:topLinePunct w:val="0"/>
              <w:bidi w:val="0"/>
              <w:spacing w:line="360" w:lineRule="auto"/>
              <w:textAlignment w:val="auto"/>
              <w:rPr>
                <w:rFonts w:hint="eastAsia" w:ascii="宋体" w:hAnsi="宋体" w:eastAsia="宋体" w:cs="宋体"/>
                <w:b/>
                <w:bCs/>
                <w:color w:val="auto"/>
                <w:sz w:val="24"/>
                <w:szCs w:val="24"/>
                <w:u w:val="single"/>
              </w:rPr>
            </w:pPr>
            <w:r>
              <w:rPr>
                <w:rFonts w:hint="eastAsia" w:ascii="宋体" w:hAnsi="宋体" w:eastAsia="宋体" w:cs="宋体"/>
                <w:b/>
                <w:bCs/>
                <w:color w:val="auto"/>
                <w:sz w:val="24"/>
                <w:szCs w:val="24"/>
                <w:u w:val="single"/>
              </w:rPr>
              <w:t>注：须提供合同或协议复印件加盖投标人公章。</w:t>
            </w:r>
          </w:p>
        </w:tc>
      </w:tr>
      <w:tr w14:paraId="7548D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404" w:type="pct"/>
            <w:gridSpan w:val="2"/>
            <w:vAlign w:val="center"/>
          </w:tcPr>
          <w:p w14:paraId="403EAE4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595" w:type="pct"/>
            <w:gridSpan w:val="2"/>
            <w:vAlign w:val="center"/>
          </w:tcPr>
          <w:p w14:paraId="66C992BF">
            <w:pPr>
              <w:pageBreakBefore w:val="0"/>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实验室技术与质量保障能力</w:t>
            </w:r>
          </w:p>
        </w:tc>
        <w:tc>
          <w:tcPr>
            <w:tcW w:w="430" w:type="pct"/>
            <w:vAlign w:val="center"/>
          </w:tcPr>
          <w:p w14:paraId="379ED983">
            <w:pPr>
              <w:pageBreakBefore w:val="0"/>
              <w:widowControl/>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10</w:t>
            </w:r>
            <w:r>
              <w:rPr>
                <w:rFonts w:hint="eastAsia" w:ascii="宋体" w:hAnsi="宋体" w:eastAsia="宋体" w:cs="宋体"/>
                <w:bCs/>
                <w:color w:val="auto"/>
                <w:sz w:val="24"/>
                <w:szCs w:val="24"/>
              </w:rPr>
              <w:t>分</w:t>
            </w:r>
          </w:p>
        </w:tc>
        <w:tc>
          <w:tcPr>
            <w:tcW w:w="3570" w:type="pct"/>
            <w:gridSpan w:val="4"/>
            <w:vAlign w:val="center"/>
          </w:tcPr>
          <w:p w14:paraId="635A2CCF">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1.投标人实验室通过ISO15189实验室认可的，得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分；  </w:t>
            </w:r>
          </w:p>
          <w:p w14:paraId="6D39E911">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.投标人具备临床基因扩增检验实验室PCR验收合格证书的，得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分； </w:t>
            </w:r>
          </w:p>
          <w:p w14:paraId="1DB1218F">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投标人具备检验检测机构资质认定（CMA）证书的，得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534F6FFA">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.投标人实验室通过国家或省级室间质评合格证书的，得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0574E2E7">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投标人为省级或以上三级医疗机构及医学检验所检验结果互认单位</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得2分。</w:t>
            </w:r>
            <w:r>
              <w:rPr>
                <w:rFonts w:hint="eastAsia" w:ascii="宋体" w:hAnsi="宋体" w:eastAsia="宋体" w:cs="宋体"/>
                <w:color w:val="auto"/>
                <w:sz w:val="24"/>
                <w:szCs w:val="24"/>
              </w:rPr>
              <w:t xml:space="preserve"> </w:t>
            </w:r>
          </w:p>
          <w:p w14:paraId="03F3F0CB">
            <w:pPr>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u w:val="single"/>
              </w:rPr>
              <w:t>注：须提供相关证书或有效证明文件复印件加盖投标人公章。</w:t>
            </w:r>
          </w:p>
        </w:tc>
      </w:tr>
      <w:tr w14:paraId="2F3A2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404" w:type="pct"/>
            <w:gridSpan w:val="2"/>
            <w:vAlign w:val="center"/>
          </w:tcPr>
          <w:p w14:paraId="6FF89CFA">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595" w:type="pct"/>
            <w:gridSpan w:val="2"/>
            <w:vAlign w:val="center"/>
          </w:tcPr>
          <w:p w14:paraId="792F0E4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投标人实验室管理体系认证情况</w:t>
            </w:r>
          </w:p>
        </w:tc>
        <w:tc>
          <w:tcPr>
            <w:tcW w:w="430" w:type="pct"/>
            <w:vAlign w:val="center"/>
          </w:tcPr>
          <w:p w14:paraId="7D3F821D">
            <w:pPr>
              <w:pageBreakBefore w:val="0"/>
              <w:widowControl/>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lang w:val="en-US" w:eastAsia="zh-CN"/>
              </w:rPr>
              <w:t>6</w:t>
            </w:r>
            <w:r>
              <w:rPr>
                <w:rFonts w:hint="eastAsia" w:ascii="宋体" w:hAnsi="宋体" w:eastAsia="宋体" w:cs="宋体"/>
                <w:bCs/>
                <w:color w:val="auto"/>
                <w:sz w:val="24"/>
                <w:szCs w:val="24"/>
              </w:rPr>
              <w:t>分</w:t>
            </w:r>
          </w:p>
        </w:tc>
        <w:tc>
          <w:tcPr>
            <w:tcW w:w="3570" w:type="pct"/>
            <w:gridSpan w:val="4"/>
            <w:vAlign w:val="center"/>
          </w:tcPr>
          <w:p w14:paraId="5A6FE501">
            <w:pPr>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投标人通过质量管理体系认证、环境管理体系认证、职业健康安全管理体系认证的，每获得一个证书得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分。（认证范围应与临床医学检验相关）</w:t>
            </w:r>
          </w:p>
          <w:p w14:paraId="32AD8621">
            <w:pPr>
              <w:pageBreakBefore w:val="0"/>
              <w:kinsoku/>
              <w:wordWrap/>
              <w:overflowPunct/>
              <w:topLinePunct w:val="0"/>
              <w:bidi w:val="0"/>
              <w:spacing w:line="360" w:lineRule="auto"/>
              <w:jc w:val="left"/>
              <w:textAlignment w:val="auto"/>
              <w:rPr>
                <w:rFonts w:hint="eastAsia" w:ascii="宋体" w:hAnsi="宋体" w:eastAsia="宋体" w:cs="宋体"/>
                <w:b/>
                <w:color w:val="auto"/>
                <w:sz w:val="24"/>
                <w:szCs w:val="24"/>
              </w:rPr>
            </w:pPr>
            <w:r>
              <w:rPr>
                <w:rFonts w:hint="eastAsia" w:ascii="宋体" w:hAnsi="宋体" w:eastAsia="宋体" w:cs="宋体"/>
                <w:b/>
                <w:bCs w:val="0"/>
                <w:color w:val="auto"/>
                <w:sz w:val="24"/>
                <w:szCs w:val="24"/>
              </w:rPr>
              <w:t>注：须提供证书复印件并加盖公章，提供以上证书在全国认证认可信息公共服务平台的查询结果截图（http://cx.cnca.cn网站公布为准），认证证书状态须显示“有效”。已失效或撤销的不得分。非投标人或投标人关联公司获得的证书或证明资料不得分。</w:t>
            </w:r>
          </w:p>
        </w:tc>
      </w:tr>
      <w:tr w14:paraId="073F4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000" w:type="pct"/>
            <w:gridSpan w:val="9"/>
            <w:vAlign w:val="center"/>
          </w:tcPr>
          <w:p w14:paraId="3CCFD9B7">
            <w:pPr>
              <w:pStyle w:val="7"/>
              <w:pageBreakBefore w:val="0"/>
              <w:kinsoku/>
              <w:wordWrap/>
              <w:overflowPunct/>
              <w:topLinePunct w:val="0"/>
              <w:bidi w:val="0"/>
              <w:spacing w:line="360" w:lineRule="auto"/>
              <w:ind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rPr>
              <w:t>技术评审细则（</w:t>
            </w:r>
            <w:r>
              <w:rPr>
                <w:rFonts w:hint="eastAsia" w:ascii="宋体" w:eastAsia="宋体" w:cs="宋体"/>
                <w:b/>
                <w:color w:val="auto"/>
                <w:sz w:val="24"/>
                <w:szCs w:val="24"/>
                <w:lang w:val="en-US" w:eastAsia="zh-CN"/>
              </w:rPr>
              <w:t>65</w:t>
            </w:r>
            <w:r>
              <w:rPr>
                <w:rFonts w:hint="eastAsia" w:ascii="宋体" w:hAnsi="宋体" w:eastAsia="宋体" w:cs="宋体"/>
                <w:b/>
                <w:color w:val="auto"/>
                <w:sz w:val="24"/>
                <w:szCs w:val="24"/>
              </w:rPr>
              <w:t>分）</w:t>
            </w:r>
          </w:p>
        </w:tc>
      </w:tr>
      <w:tr w14:paraId="5DE0F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404" w:type="pct"/>
            <w:gridSpan w:val="2"/>
            <w:vMerge w:val="restart"/>
            <w:vAlign w:val="center"/>
          </w:tcPr>
          <w:p w14:paraId="040B414B">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95" w:type="pct"/>
            <w:gridSpan w:val="2"/>
            <w:vMerge w:val="restart"/>
            <w:vAlign w:val="center"/>
          </w:tcPr>
          <w:p w14:paraId="2E54D8D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项目配备技术人员情况</w:t>
            </w:r>
          </w:p>
        </w:tc>
        <w:tc>
          <w:tcPr>
            <w:tcW w:w="430" w:type="pct"/>
            <w:vMerge w:val="restart"/>
            <w:vAlign w:val="center"/>
          </w:tcPr>
          <w:p w14:paraId="71C6DEB1">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tc>
        <w:tc>
          <w:tcPr>
            <w:tcW w:w="3570" w:type="pct"/>
            <w:gridSpan w:val="4"/>
            <w:vAlign w:val="center"/>
          </w:tcPr>
          <w:p w14:paraId="095A206E">
            <w:pPr>
              <w:pStyle w:val="3"/>
              <w:pageBreakBefore w:val="0"/>
              <w:kinsoku/>
              <w:wordWrap/>
              <w:overflowPunct/>
              <w:topLinePunct w:val="0"/>
              <w:bidi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投标人拟安排本项目负责人相关资质条件进行评分：</w:t>
            </w:r>
          </w:p>
          <w:p w14:paraId="45279B6A">
            <w:pPr>
              <w:pStyle w:val="2"/>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（1）具备</w:t>
            </w:r>
            <w:r>
              <w:rPr>
                <w:rFonts w:hint="eastAsia" w:ascii="宋体" w:hAnsi="宋体" w:eastAsia="宋体" w:cs="宋体"/>
                <w:sz w:val="24"/>
                <w:szCs w:val="24"/>
              </w:rPr>
              <w:t>临床医学检验学高级资格证书</w:t>
            </w:r>
            <w:r>
              <w:rPr>
                <w:rFonts w:hint="eastAsia" w:ascii="宋体" w:hAnsi="宋体" w:eastAsia="宋体" w:cs="宋体"/>
                <w:color w:val="auto"/>
                <w:sz w:val="24"/>
                <w:szCs w:val="24"/>
              </w:rPr>
              <w:t>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6214070D">
            <w:pPr>
              <w:pStyle w:val="2"/>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（2）具备</w:t>
            </w:r>
            <w:r>
              <w:rPr>
                <w:rFonts w:hint="eastAsia" w:ascii="宋体" w:hAnsi="宋体" w:eastAsia="宋体" w:cs="宋体"/>
                <w:sz w:val="24"/>
                <w:szCs w:val="24"/>
              </w:rPr>
              <w:t>医学相关专业博士学位</w:t>
            </w:r>
            <w:r>
              <w:rPr>
                <w:rFonts w:hint="eastAsia" w:ascii="宋体" w:hAnsi="宋体" w:eastAsia="宋体" w:cs="宋体"/>
                <w:color w:val="auto"/>
                <w:sz w:val="24"/>
                <w:szCs w:val="24"/>
              </w:rPr>
              <w:t>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51E23A72">
            <w:pPr>
              <w:pStyle w:val="3"/>
              <w:pageBreakBefore w:val="0"/>
              <w:kinsoku/>
              <w:wordWrap/>
              <w:overflowPunct/>
              <w:topLinePunct w:val="0"/>
              <w:bidi w:val="0"/>
              <w:spacing w:line="360" w:lineRule="auto"/>
              <w:ind w:left="0" w:leftChars="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注：提供上述相关证明材料复印件及</w:t>
            </w:r>
            <w:r>
              <w:rPr>
                <w:rFonts w:hint="eastAsia" w:ascii="宋体" w:hAnsi="宋体" w:eastAsia="宋体" w:cs="宋体"/>
                <w:b/>
                <w:color w:val="auto"/>
                <w:sz w:val="24"/>
                <w:szCs w:val="24"/>
                <w:lang w:val="en-US" w:eastAsia="zh-CN"/>
              </w:rPr>
              <w:t>开标前最</w:t>
            </w:r>
            <w:r>
              <w:rPr>
                <w:rFonts w:hint="eastAsia" w:ascii="宋体" w:hAnsi="宋体" w:eastAsia="宋体" w:cs="宋体"/>
                <w:b/>
                <w:color w:val="auto"/>
                <w:sz w:val="24"/>
                <w:szCs w:val="24"/>
              </w:rPr>
              <w:t>近</w:t>
            </w: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个月</w:t>
            </w:r>
            <w:r>
              <w:rPr>
                <w:rFonts w:hint="eastAsia" w:ascii="宋体" w:hAnsi="宋体" w:eastAsia="宋体" w:cs="宋体"/>
                <w:b/>
                <w:color w:val="auto"/>
                <w:sz w:val="24"/>
                <w:szCs w:val="24"/>
                <w:lang w:val="en-US" w:eastAsia="zh-CN"/>
              </w:rPr>
              <w:t>内任意1个月</w:t>
            </w:r>
            <w:r>
              <w:rPr>
                <w:rFonts w:hint="eastAsia" w:ascii="宋体" w:hAnsi="宋体" w:eastAsia="宋体" w:cs="宋体"/>
                <w:b/>
                <w:color w:val="auto"/>
                <w:sz w:val="24"/>
                <w:szCs w:val="24"/>
              </w:rPr>
              <w:t>在投标人单位购买社保</w:t>
            </w:r>
            <w:r>
              <w:rPr>
                <w:rFonts w:hint="eastAsia" w:ascii="宋体" w:hAnsi="宋体" w:eastAsia="宋体" w:cs="宋体"/>
                <w:b/>
                <w:color w:val="auto"/>
                <w:sz w:val="24"/>
                <w:szCs w:val="24"/>
                <w:lang w:val="en-US" w:eastAsia="zh-CN"/>
              </w:rPr>
              <w:t>的证明</w:t>
            </w:r>
            <w:r>
              <w:rPr>
                <w:rFonts w:hint="eastAsia" w:ascii="宋体" w:hAnsi="宋体" w:eastAsia="宋体" w:cs="宋体"/>
                <w:b/>
                <w:color w:val="auto"/>
                <w:sz w:val="24"/>
                <w:szCs w:val="24"/>
                <w:lang w:eastAsia="zh-CN"/>
              </w:rPr>
              <w:t>(如年龄达到法定退休年龄的，无法提供社保证明的，提供劳务合同)</w:t>
            </w:r>
            <w:r>
              <w:rPr>
                <w:rFonts w:hint="eastAsia" w:ascii="宋体" w:hAnsi="宋体" w:eastAsia="宋体" w:cs="宋体"/>
                <w:b/>
                <w:color w:val="auto"/>
                <w:sz w:val="24"/>
                <w:szCs w:val="24"/>
                <w:lang w:val="en-US" w:eastAsia="zh-CN"/>
              </w:rPr>
              <w:t>复印件</w:t>
            </w:r>
            <w:r>
              <w:rPr>
                <w:rFonts w:hint="eastAsia" w:ascii="宋体" w:hAnsi="宋体" w:eastAsia="宋体" w:cs="宋体"/>
                <w:b/>
                <w:color w:val="auto"/>
                <w:sz w:val="24"/>
                <w:szCs w:val="24"/>
              </w:rPr>
              <w:t>加盖投标人公章。</w:t>
            </w:r>
          </w:p>
        </w:tc>
      </w:tr>
      <w:tr w14:paraId="3F1FB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404" w:type="pct"/>
            <w:gridSpan w:val="2"/>
            <w:vMerge w:val="continue"/>
            <w:vAlign w:val="center"/>
          </w:tcPr>
          <w:p w14:paraId="39C1A1BB">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p>
        </w:tc>
        <w:tc>
          <w:tcPr>
            <w:tcW w:w="595" w:type="pct"/>
            <w:gridSpan w:val="2"/>
            <w:vMerge w:val="continue"/>
            <w:vAlign w:val="center"/>
          </w:tcPr>
          <w:p w14:paraId="61878E08">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p>
        </w:tc>
        <w:tc>
          <w:tcPr>
            <w:tcW w:w="430" w:type="pct"/>
            <w:vMerge w:val="continue"/>
            <w:vAlign w:val="center"/>
          </w:tcPr>
          <w:p w14:paraId="50283472">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rPr>
            </w:pPr>
          </w:p>
        </w:tc>
        <w:tc>
          <w:tcPr>
            <w:tcW w:w="3570" w:type="pct"/>
            <w:gridSpan w:val="4"/>
            <w:vAlign w:val="center"/>
          </w:tcPr>
          <w:p w14:paraId="7D5977B9">
            <w:pPr>
              <w:pStyle w:val="3"/>
              <w:pageBreakBefore w:val="0"/>
              <w:kinsoku/>
              <w:wordWrap/>
              <w:overflowPunct/>
              <w:topLinePunct w:val="0"/>
              <w:bidi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1.投标人实验室具备中级</w:t>
            </w:r>
            <w:r>
              <w:rPr>
                <w:rFonts w:hint="eastAsia" w:ascii="宋体" w:hAnsi="宋体" w:eastAsia="宋体" w:cs="宋体"/>
                <w:color w:val="auto"/>
                <w:sz w:val="24"/>
                <w:szCs w:val="24"/>
                <w:lang w:val="en-US" w:eastAsia="zh-CN"/>
              </w:rPr>
              <w:t>及以上检验</w:t>
            </w:r>
            <w:r>
              <w:rPr>
                <w:rFonts w:hint="eastAsia" w:ascii="宋体" w:hAnsi="宋体" w:eastAsia="宋体" w:cs="宋体"/>
                <w:color w:val="auto"/>
                <w:sz w:val="24"/>
                <w:szCs w:val="24"/>
              </w:rPr>
              <w:t>技术人员，每提供1名，得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分； </w:t>
            </w:r>
          </w:p>
          <w:p w14:paraId="4C79CA3D">
            <w:pPr>
              <w:pageBreakBefore w:val="0"/>
              <w:kinsoku/>
              <w:wordWrap/>
              <w:overflowPunct/>
              <w:topLinePunct w:val="0"/>
              <w:bidi w:val="0"/>
              <w:spacing w:line="360" w:lineRule="auto"/>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u w:val="single"/>
              </w:rPr>
              <w:t>注：提供上述相关证明材料复印件及</w:t>
            </w:r>
            <w:r>
              <w:rPr>
                <w:rFonts w:hint="eastAsia" w:ascii="宋体" w:hAnsi="宋体" w:eastAsia="宋体" w:cs="宋体"/>
                <w:b/>
                <w:bCs/>
                <w:color w:val="auto"/>
                <w:sz w:val="24"/>
                <w:szCs w:val="24"/>
                <w:u w:val="single"/>
                <w:lang w:val="en-US" w:eastAsia="zh-CN"/>
              </w:rPr>
              <w:t>开标前最</w:t>
            </w:r>
            <w:r>
              <w:rPr>
                <w:rFonts w:hint="eastAsia" w:ascii="宋体" w:hAnsi="宋体" w:eastAsia="宋体" w:cs="宋体"/>
                <w:b/>
                <w:bCs/>
                <w:color w:val="auto"/>
                <w:sz w:val="24"/>
                <w:szCs w:val="24"/>
                <w:u w:val="single"/>
              </w:rPr>
              <w:t>近</w:t>
            </w:r>
            <w:r>
              <w:rPr>
                <w:rFonts w:hint="eastAsia" w:ascii="宋体" w:hAnsi="宋体" w:eastAsia="宋体" w:cs="宋体"/>
                <w:b/>
                <w:bCs/>
                <w:color w:val="auto"/>
                <w:sz w:val="24"/>
                <w:szCs w:val="24"/>
                <w:u w:val="single"/>
                <w:lang w:val="en-US" w:eastAsia="zh-CN"/>
              </w:rPr>
              <w:t>6</w:t>
            </w:r>
            <w:r>
              <w:rPr>
                <w:rFonts w:hint="eastAsia" w:ascii="宋体" w:hAnsi="宋体" w:eastAsia="宋体" w:cs="宋体"/>
                <w:b/>
                <w:bCs/>
                <w:color w:val="auto"/>
                <w:sz w:val="24"/>
                <w:szCs w:val="24"/>
                <w:u w:val="single"/>
              </w:rPr>
              <w:t>个月</w:t>
            </w:r>
            <w:r>
              <w:rPr>
                <w:rFonts w:hint="eastAsia" w:ascii="宋体" w:hAnsi="宋体" w:eastAsia="宋体" w:cs="宋体"/>
                <w:b/>
                <w:bCs/>
                <w:color w:val="auto"/>
                <w:sz w:val="24"/>
                <w:szCs w:val="24"/>
                <w:u w:val="single"/>
                <w:lang w:val="en-US" w:eastAsia="zh-CN"/>
              </w:rPr>
              <w:t>内任意1个月</w:t>
            </w:r>
            <w:r>
              <w:rPr>
                <w:rFonts w:hint="eastAsia" w:ascii="宋体" w:hAnsi="宋体" w:eastAsia="宋体" w:cs="宋体"/>
                <w:b/>
                <w:bCs/>
                <w:color w:val="auto"/>
                <w:sz w:val="24"/>
                <w:szCs w:val="24"/>
                <w:u w:val="single"/>
              </w:rPr>
              <w:t>在投标人单位购买社保</w:t>
            </w:r>
            <w:r>
              <w:rPr>
                <w:rFonts w:hint="eastAsia" w:ascii="宋体" w:hAnsi="宋体" w:eastAsia="宋体" w:cs="宋体"/>
                <w:b/>
                <w:bCs/>
                <w:color w:val="auto"/>
                <w:sz w:val="24"/>
                <w:szCs w:val="24"/>
                <w:u w:val="single"/>
                <w:lang w:val="en-US" w:eastAsia="zh-CN"/>
              </w:rPr>
              <w:t>的证明</w:t>
            </w:r>
            <w:r>
              <w:rPr>
                <w:rFonts w:hint="eastAsia" w:ascii="宋体" w:hAnsi="宋体" w:eastAsia="宋体" w:cs="宋体"/>
                <w:b/>
                <w:bCs/>
                <w:color w:val="auto"/>
                <w:sz w:val="24"/>
                <w:szCs w:val="24"/>
                <w:u w:val="single"/>
                <w:lang w:eastAsia="zh-CN"/>
              </w:rPr>
              <w:t>(如年龄达到法定退休年龄的，无法提供社保证明的，提供劳务合同)</w:t>
            </w:r>
            <w:r>
              <w:rPr>
                <w:rFonts w:hint="eastAsia" w:ascii="宋体" w:hAnsi="宋体" w:eastAsia="宋体" w:cs="宋体"/>
                <w:b/>
                <w:bCs/>
                <w:color w:val="auto"/>
                <w:sz w:val="24"/>
                <w:szCs w:val="24"/>
                <w:u w:val="single"/>
                <w:lang w:val="en-US" w:eastAsia="zh-CN"/>
              </w:rPr>
              <w:t>复印件</w:t>
            </w:r>
            <w:r>
              <w:rPr>
                <w:rFonts w:hint="eastAsia" w:ascii="宋体" w:hAnsi="宋体" w:eastAsia="宋体" w:cs="宋体"/>
                <w:b/>
                <w:bCs/>
                <w:color w:val="auto"/>
                <w:sz w:val="24"/>
                <w:szCs w:val="24"/>
                <w:u w:val="single"/>
              </w:rPr>
              <w:t>加盖投标人公章。</w:t>
            </w:r>
          </w:p>
        </w:tc>
      </w:tr>
      <w:tr w14:paraId="3E83E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404" w:type="pct"/>
            <w:gridSpan w:val="2"/>
            <w:vAlign w:val="center"/>
          </w:tcPr>
          <w:p w14:paraId="0DE44EA7">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595" w:type="pct"/>
            <w:gridSpan w:val="2"/>
            <w:vAlign w:val="center"/>
          </w:tcPr>
          <w:p w14:paraId="1DCE1F53">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病原微生物检测服务能力</w:t>
            </w:r>
          </w:p>
        </w:tc>
        <w:tc>
          <w:tcPr>
            <w:tcW w:w="430" w:type="pct"/>
            <w:vAlign w:val="center"/>
          </w:tcPr>
          <w:p w14:paraId="0B0D15D0">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12分</w:t>
            </w:r>
          </w:p>
        </w:tc>
        <w:tc>
          <w:tcPr>
            <w:tcW w:w="3570" w:type="pct"/>
            <w:gridSpan w:val="4"/>
            <w:vAlign w:val="center"/>
          </w:tcPr>
          <w:p w14:paraId="27A2B0A4">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投标人拥有完善的微生物检测平台，设备配置齐全、技术先进（包括全自动快速生物质谱检测系统、全自动细菌培养系统、全自动微生物鉴定药敏分析仪、全自动微生物样本工作单元），充分满足本检测项目的潜在需求：全部提供得6分；提供2-3个得3分；提供1个得1分，不提供不得分。注：设备合同或发票、流水线实物照片、标准操作规程文件，加盖投标人公章，不提供或提供不全不得分。</w:t>
            </w:r>
          </w:p>
          <w:p w14:paraId="23CE790C">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2、投标人所开展微生物检查项目阳性报告可在36小时内出具，满足的得3分。</w:t>
            </w:r>
          </w:p>
          <w:p w14:paraId="542B0B4F">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注：投标人需提供承诺函，格式自拟，并同时提供5份真实的微生物检测报告单，及微生物项目平均TAT汇总表，不提供或提供不全不得分。</w:t>
            </w:r>
          </w:p>
          <w:p w14:paraId="2BDDBA17">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3、投标人微生物快速鉴定平台曾获得技术创新类奖项或荣誉的，得3分。</w:t>
            </w:r>
          </w:p>
          <w:p w14:paraId="07660025">
            <w:pPr>
              <w:pStyle w:val="3"/>
              <w:pageBreakBefore w:val="0"/>
              <w:kinsoku/>
              <w:wordWrap/>
              <w:overflowPunct/>
              <w:topLinePunct w:val="0"/>
              <w:bidi w:val="0"/>
              <w:spacing w:line="360" w:lineRule="auto"/>
              <w:ind w:left="0" w:leftChars="0"/>
              <w:textAlignment w:val="auto"/>
              <w:rPr>
                <w:rFonts w:hint="eastAsia" w:ascii="宋体" w:hAnsi="宋体" w:eastAsia="宋体" w:cs="宋体"/>
                <w:b/>
                <w:bCs w:val="0"/>
                <w:color w:val="auto"/>
                <w:kern w:val="2"/>
                <w:sz w:val="24"/>
                <w:szCs w:val="24"/>
                <w:u w:val="single"/>
                <w:lang w:val="en-US" w:eastAsia="zh-CN" w:bidi="ar-SA"/>
              </w:rPr>
            </w:pPr>
            <w:r>
              <w:rPr>
                <w:rFonts w:hint="eastAsia" w:ascii="宋体" w:hAnsi="宋体" w:eastAsia="宋体" w:cs="宋体"/>
                <w:color w:val="auto"/>
                <w:kern w:val="2"/>
                <w:sz w:val="24"/>
                <w:szCs w:val="24"/>
                <w:lang w:val="en-US" w:eastAsia="zh-CN" w:bidi="ar-SA"/>
              </w:rPr>
              <w:t>注：需提供相关证明文件复印件加盖投标人公章。</w:t>
            </w:r>
          </w:p>
        </w:tc>
      </w:tr>
      <w:tr w14:paraId="7209F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04" w:type="pct"/>
            <w:gridSpan w:val="2"/>
            <w:vAlign w:val="center"/>
          </w:tcPr>
          <w:p w14:paraId="62076E69">
            <w:pPr>
              <w:pageBreakBefore w:val="0"/>
              <w:kinsoku/>
              <w:wordWrap/>
              <w:overflowPunct/>
              <w:topLinePunct w:val="0"/>
              <w:bidi w:val="0"/>
              <w:spacing w:line="360" w:lineRule="auto"/>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595" w:type="pct"/>
            <w:gridSpan w:val="2"/>
            <w:vAlign w:val="center"/>
          </w:tcPr>
          <w:p w14:paraId="65075820">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质量控制方案</w:t>
            </w:r>
          </w:p>
        </w:tc>
        <w:tc>
          <w:tcPr>
            <w:tcW w:w="430" w:type="pct"/>
            <w:vAlign w:val="center"/>
          </w:tcPr>
          <w:p w14:paraId="7ED4B987">
            <w:pPr>
              <w:pageBreakBefore w:val="0"/>
              <w:widowControl/>
              <w:kinsoku/>
              <w:wordWrap/>
              <w:overflowPunct/>
              <w:topLinePunct w:val="0"/>
              <w:bidi w:val="0"/>
              <w:spacing w:line="360" w:lineRule="auto"/>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6分</w:t>
            </w:r>
          </w:p>
        </w:tc>
        <w:tc>
          <w:tcPr>
            <w:tcW w:w="3570" w:type="pct"/>
            <w:gridSpan w:val="4"/>
            <w:vAlign w:val="center"/>
          </w:tcPr>
          <w:p w14:paraId="1E2850B0">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根据投标人提供的质量控制方案（检测分析前、中、后的质量控制）进行综合评审：</w:t>
            </w:r>
          </w:p>
          <w:p w14:paraId="19FA4996">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1.质量控制方案针对性强，可操作性强，切实可行，质量控制措施完善，满足并优于用户需求的，得6分；</w:t>
            </w:r>
          </w:p>
          <w:p w14:paraId="3C39A355">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2.质量控制方案针对一般，可操作性一般，质量控制措施不够完善的，得3分；</w:t>
            </w:r>
          </w:p>
          <w:p w14:paraId="1F252FBA">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3.质量控制方案针对性差、质量控制措施可操作性差的，得1分；</w:t>
            </w:r>
          </w:p>
          <w:p w14:paraId="1426008C">
            <w:pPr>
              <w:spacing w:line="360" w:lineRule="auto"/>
              <w:jc w:val="left"/>
              <w:rPr>
                <w:rFonts w:hint="eastAsia" w:ascii="宋体" w:hAnsi="宋体" w:eastAsia="宋体" w:cs="宋体"/>
                <w:b/>
                <w:color w:val="auto"/>
                <w:sz w:val="24"/>
                <w:szCs w:val="24"/>
              </w:rPr>
            </w:pPr>
            <w:r>
              <w:rPr>
                <w:rFonts w:hint="eastAsia" w:ascii="宋体" w:hAnsi="宋体" w:eastAsia="宋体" w:cs="宋体"/>
                <w:color w:val="auto"/>
                <w:kern w:val="2"/>
                <w:sz w:val="24"/>
                <w:szCs w:val="24"/>
                <w:lang w:val="en-US" w:eastAsia="zh-CN" w:bidi="ar-SA"/>
              </w:rPr>
              <w:t>4.无提供方案不得分。</w:t>
            </w:r>
          </w:p>
        </w:tc>
      </w:tr>
      <w:tr w14:paraId="538D4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1" w:hRule="atLeast"/>
          <w:jc w:val="center"/>
        </w:trPr>
        <w:tc>
          <w:tcPr>
            <w:tcW w:w="404" w:type="pct"/>
            <w:gridSpan w:val="2"/>
            <w:vAlign w:val="center"/>
          </w:tcPr>
          <w:p w14:paraId="4003FB18">
            <w:pPr>
              <w:pageBreakBefore w:val="0"/>
              <w:kinsoku/>
              <w:wordWrap/>
              <w:overflowPunct/>
              <w:topLinePunct w:val="0"/>
              <w:bidi w:val="0"/>
              <w:spacing w:line="360" w:lineRule="auto"/>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595" w:type="pct"/>
            <w:gridSpan w:val="2"/>
            <w:vAlign w:val="center"/>
          </w:tcPr>
          <w:p w14:paraId="0794831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基础服务能力</w:t>
            </w:r>
          </w:p>
        </w:tc>
        <w:tc>
          <w:tcPr>
            <w:tcW w:w="430" w:type="pct"/>
            <w:vAlign w:val="center"/>
          </w:tcPr>
          <w:p w14:paraId="1B70709A">
            <w:pPr>
              <w:widowControl/>
              <w:spacing w:before="31" w:beforeLines="10" w:after="30"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6分</w:t>
            </w:r>
          </w:p>
        </w:tc>
        <w:tc>
          <w:tcPr>
            <w:tcW w:w="3570" w:type="pct"/>
            <w:gridSpan w:val="4"/>
            <w:vAlign w:val="center"/>
          </w:tcPr>
          <w:p w14:paraId="3E815878">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 具备CNAS货物运输条件鉴定书（包括血液样品、病理组织玻片、蜡块等），得3分，不满足得0分；</w:t>
            </w:r>
          </w:p>
          <w:p w14:paraId="594B14DD">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（提供货物运输鉴定书复印件）</w:t>
            </w:r>
          </w:p>
          <w:p w14:paraId="38669A53">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2.具备专用冷链物流车辆的，得3分；</w:t>
            </w:r>
          </w:p>
          <w:p w14:paraId="012B5AAD">
            <w:pPr>
              <w:spacing w:line="360" w:lineRule="auto"/>
              <w:jc w:val="left"/>
              <w:rPr>
                <w:rFonts w:hint="eastAsia" w:ascii="宋体" w:hAnsi="宋体" w:eastAsia="宋体" w:cs="宋体"/>
                <w:b/>
                <w:bCs/>
                <w:color w:val="auto"/>
                <w:sz w:val="24"/>
                <w:szCs w:val="24"/>
                <w:u w:val="single"/>
              </w:rPr>
            </w:pPr>
            <w:r>
              <w:rPr>
                <w:rFonts w:hint="eastAsia" w:ascii="宋体" w:hAnsi="宋体" w:eastAsia="宋体" w:cs="宋体"/>
                <w:color w:val="auto"/>
                <w:kern w:val="2"/>
                <w:sz w:val="24"/>
                <w:szCs w:val="24"/>
                <w:lang w:val="en-US" w:eastAsia="zh-CN" w:bidi="ar-SA"/>
              </w:rPr>
              <w:t>注：提供车辆行驶证、车辆照片及采购发票或采购合同租赁合同复印件，加盖投标人公章。</w:t>
            </w:r>
          </w:p>
        </w:tc>
      </w:tr>
      <w:tr w14:paraId="4E58C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3" w:hRule="atLeast"/>
          <w:jc w:val="center"/>
        </w:trPr>
        <w:tc>
          <w:tcPr>
            <w:tcW w:w="404" w:type="pct"/>
            <w:gridSpan w:val="2"/>
            <w:vAlign w:val="center"/>
          </w:tcPr>
          <w:p w14:paraId="3621748D">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595" w:type="pct"/>
            <w:gridSpan w:val="2"/>
            <w:vAlign w:val="center"/>
          </w:tcPr>
          <w:p w14:paraId="5C89193B">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检验信息化服务</w:t>
            </w:r>
          </w:p>
        </w:tc>
        <w:tc>
          <w:tcPr>
            <w:tcW w:w="430" w:type="pct"/>
            <w:vAlign w:val="center"/>
          </w:tcPr>
          <w:p w14:paraId="7742E0C3">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tc>
        <w:tc>
          <w:tcPr>
            <w:tcW w:w="3570" w:type="pct"/>
            <w:gridSpan w:val="4"/>
            <w:vAlign w:val="center"/>
          </w:tcPr>
          <w:p w14:paraId="2C88874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投标人具备医学信息化服务能力，配备完善的信息系统，可与医院LIS系统对接，提供LIS系统对接方案；</w:t>
            </w:r>
          </w:p>
          <w:p w14:paraId="6182D4DD">
            <w:pPr>
              <w:pStyle w:val="8"/>
              <w:numPr>
                <w:ilvl w:val="0"/>
                <w:numId w:val="2"/>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项目方案完整，实施方法可行，设备配套齐全，完全满足或优于采购需求的，得</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 xml:space="preserve">分； </w:t>
            </w:r>
          </w:p>
          <w:p w14:paraId="767CB2E4">
            <w:pPr>
              <w:pStyle w:val="8"/>
              <w:numPr>
                <w:ilvl w:val="0"/>
                <w:numId w:val="2"/>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项目方案基本完整，实施方法一般，设备配套一般，部分满足采购需求的，得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41BA053D">
            <w:pPr>
              <w:pStyle w:val="8"/>
              <w:numPr>
                <w:ilvl w:val="0"/>
                <w:numId w:val="2"/>
              </w:numPr>
              <w:spacing w:line="360" w:lineRule="auto"/>
              <w:ind w:firstLineChars="0"/>
              <w:rPr>
                <w:rFonts w:hint="eastAsia" w:ascii="宋体" w:hAnsi="宋体" w:eastAsia="宋体" w:cs="宋体"/>
                <w:b/>
                <w:color w:val="auto"/>
                <w:sz w:val="24"/>
                <w:szCs w:val="24"/>
                <w:u w:val="single"/>
                <w:lang w:eastAsia="zh-CN"/>
              </w:rPr>
            </w:pPr>
            <w:r>
              <w:rPr>
                <w:rFonts w:hint="eastAsia" w:ascii="宋体" w:hAnsi="宋体" w:eastAsia="宋体" w:cs="宋体"/>
                <w:color w:val="auto"/>
                <w:sz w:val="24"/>
                <w:szCs w:val="24"/>
              </w:rPr>
              <w:t>项目方案基本不完整，实施方法差，设备配套差，部分满足采购需求的，得1分；</w:t>
            </w:r>
          </w:p>
          <w:p w14:paraId="25CEBF32">
            <w:pPr>
              <w:pStyle w:val="8"/>
              <w:numPr>
                <w:ilvl w:val="0"/>
                <w:numId w:val="2"/>
              </w:numPr>
              <w:spacing w:line="360" w:lineRule="auto"/>
              <w:ind w:firstLineChars="0"/>
              <w:rPr>
                <w:rFonts w:hint="eastAsia" w:ascii="宋体" w:hAnsi="宋体" w:eastAsia="宋体" w:cs="宋体"/>
                <w:b/>
                <w:color w:val="auto"/>
                <w:sz w:val="24"/>
                <w:szCs w:val="24"/>
                <w:u w:val="single"/>
                <w:lang w:eastAsia="zh-CN"/>
              </w:rPr>
            </w:pPr>
            <w:r>
              <w:rPr>
                <w:rFonts w:hint="eastAsia" w:ascii="宋体" w:hAnsi="宋体" w:eastAsia="宋体" w:cs="宋体"/>
                <w:color w:val="auto"/>
                <w:sz w:val="24"/>
                <w:szCs w:val="24"/>
                <w:lang w:eastAsia="zh-CN"/>
              </w:rPr>
              <w:t xml:space="preserve">未提供方案不得分。 </w:t>
            </w:r>
          </w:p>
          <w:p w14:paraId="37F237E9">
            <w:pPr>
              <w:pStyle w:val="8"/>
              <w:numPr>
                <w:ilvl w:val="0"/>
                <w:numId w:val="0"/>
              </w:num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投标人</w:t>
            </w:r>
            <w:r>
              <w:rPr>
                <w:rFonts w:hint="eastAsia" w:ascii="宋体" w:hAnsi="宋体" w:eastAsia="宋体" w:cs="宋体"/>
                <w:color w:val="auto"/>
                <w:sz w:val="24"/>
                <w:szCs w:val="24"/>
                <w:lang w:val="en-US" w:eastAsia="zh-CN"/>
              </w:rPr>
              <w:t>具备系统对接技术服务能力，并</w:t>
            </w:r>
            <w:r>
              <w:rPr>
                <w:rFonts w:hint="eastAsia" w:ascii="宋体" w:hAnsi="宋体" w:eastAsia="宋体" w:cs="宋体"/>
                <w:color w:val="auto"/>
                <w:sz w:val="24"/>
                <w:szCs w:val="24"/>
              </w:rPr>
              <w:t>保证医疗信息安全，通过ISO20000信息技术服务管理体系认证，得</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w:t>
            </w:r>
          </w:p>
          <w:p w14:paraId="7AAC97EB">
            <w:pPr>
              <w:pStyle w:val="8"/>
              <w:numPr>
                <w:ilvl w:val="0"/>
                <w:numId w:val="0"/>
              </w:numPr>
              <w:spacing w:line="360" w:lineRule="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u w:val="single"/>
              </w:rPr>
              <w:t>注：须提供</w:t>
            </w:r>
            <w:r>
              <w:rPr>
                <w:rFonts w:hint="eastAsia" w:ascii="宋体" w:hAnsi="宋体" w:eastAsia="宋体" w:cs="宋体"/>
                <w:b/>
                <w:bCs/>
                <w:color w:val="auto"/>
                <w:sz w:val="24"/>
                <w:szCs w:val="24"/>
                <w:u w:val="single"/>
                <w:lang w:val="en-US" w:eastAsia="zh-CN"/>
              </w:rPr>
              <w:t>有效证书</w:t>
            </w:r>
            <w:r>
              <w:rPr>
                <w:rFonts w:hint="eastAsia" w:ascii="宋体" w:hAnsi="宋体" w:eastAsia="宋体" w:cs="宋体"/>
                <w:b/>
                <w:bCs/>
                <w:color w:val="auto"/>
                <w:sz w:val="24"/>
                <w:szCs w:val="24"/>
                <w:u w:val="single"/>
              </w:rPr>
              <w:t>复印件加盖投标人公章</w:t>
            </w:r>
            <w:r>
              <w:rPr>
                <w:rFonts w:hint="eastAsia" w:ascii="宋体" w:hAnsi="宋体" w:eastAsia="宋体" w:cs="宋体"/>
                <w:b/>
                <w:bCs/>
                <w:color w:val="auto"/>
                <w:sz w:val="24"/>
                <w:szCs w:val="24"/>
                <w:u w:val="none"/>
                <w:lang w:eastAsia="zh-CN"/>
              </w:rPr>
              <w:t>。</w:t>
            </w:r>
          </w:p>
        </w:tc>
      </w:tr>
      <w:tr w14:paraId="773B5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04" w:type="pct"/>
            <w:gridSpan w:val="2"/>
            <w:vAlign w:val="center"/>
          </w:tcPr>
          <w:p w14:paraId="47D01695">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595" w:type="pct"/>
            <w:gridSpan w:val="2"/>
            <w:vAlign w:val="center"/>
          </w:tcPr>
          <w:p w14:paraId="74D9AC1E">
            <w:pPr>
              <w:pageBreakBefore w:val="0"/>
              <w:kinsoku/>
              <w:wordWrap/>
              <w:overflowPunct/>
              <w:topLinePunct w:val="0"/>
              <w:bidi w:val="0"/>
              <w:spacing w:line="360" w:lineRule="auto"/>
              <w:jc w:val="center"/>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rPr>
              <w:t>物流服务方案</w:t>
            </w:r>
          </w:p>
        </w:tc>
        <w:tc>
          <w:tcPr>
            <w:tcW w:w="430" w:type="pct"/>
            <w:vAlign w:val="center"/>
          </w:tcPr>
          <w:p w14:paraId="775DF264">
            <w:pPr>
              <w:pageBreakBefore w:val="0"/>
              <w:widowControl/>
              <w:kinsoku/>
              <w:wordWrap/>
              <w:overflowPunct/>
              <w:topLinePunct w:val="0"/>
              <w:bidi w:val="0"/>
              <w:spacing w:line="360" w:lineRule="auto"/>
              <w:jc w:val="center"/>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8</w:t>
            </w:r>
            <w:r>
              <w:rPr>
                <w:rFonts w:hint="eastAsia" w:asciiTheme="minorEastAsia" w:hAnsiTheme="minorEastAsia" w:cstheme="minorEastAsia"/>
                <w:color w:val="auto"/>
                <w:sz w:val="24"/>
                <w:szCs w:val="24"/>
              </w:rPr>
              <w:t>分</w:t>
            </w:r>
          </w:p>
        </w:tc>
        <w:tc>
          <w:tcPr>
            <w:tcW w:w="3570" w:type="pct"/>
            <w:gridSpan w:val="4"/>
            <w:vAlign w:val="center"/>
          </w:tcPr>
          <w:p w14:paraId="500BB9D0">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投标人需具有冷链物流运输服务能力，具备保障标本运输的设施设备</w:t>
            </w:r>
            <w:r>
              <w:rPr>
                <w:rFonts w:hint="eastAsia" w:cs="宋体" w:asciiTheme="minorEastAsia" w:hAnsiTheme="minorEastAsia"/>
                <w:color w:val="auto"/>
                <w:sz w:val="24"/>
                <w:szCs w:val="24"/>
                <w:lang w:eastAsia="zh-CN"/>
              </w:rPr>
              <w:t>，</w:t>
            </w:r>
            <w:r>
              <w:rPr>
                <w:rFonts w:hint="eastAsia" w:cs="宋体" w:asciiTheme="minorEastAsia" w:hAnsiTheme="minorEastAsia"/>
                <w:color w:val="auto"/>
                <w:sz w:val="24"/>
                <w:szCs w:val="24"/>
                <w:lang w:val="en-US" w:eastAsia="zh-CN"/>
              </w:rPr>
              <w:t>并</w:t>
            </w:r>
            <w:r>
              <w:rPr>
                <w:rFonts w:hint="eastAsia" w:cs="宋体" w:asciiTheme="minorEastAsia" w:hAnsiTheme="minorEastAsia"/>
                <w:color w:val="auto"/>
                <w:sz w:val="24"/>
                <w:szCs w:val="24"/>
              </w:rPr>
              <w:t xml:space="preserve">根据投标人提供的标本运输保管方案及其保障措施进行评审： </w:t>
            </w:r>
          </w:p>
          <w:p w14:paraId="31BD8C9B">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1.项目方案完整，实施方法可行，设备配套齐全，完全满足或优于采购需求的，得</w:t>
            </w:r>
            <w:r>
              <w:rPr>
                <w:rFonts w:hint="eastAsia" w:cs="宋体" w:asciiTheme="minorEastAsia" w:hAnsiTheme="minorEastAsia"/>
                <w:color w:val="auto"/>
                <w:sz w:val="24"/>
                <w:szCs w:val="24"/>
                <w:lang w:val="en-US" w:eastAsia="zh-CN"/>
              </w:rPr>
              <w:t>8</w:t>
            </w:r>
            <w:r>
              <w:rPr>
                <w:rFonts w:hint="eastAsia" w:cs="宋体" w:asciiTheme="minorEastAsia" w:hAnsiTheme="minorEastAsia"/>
                <w:color w:val="auto"/>
                <w:sz w:val="24"/>
                <w:szCs w:val="24"/>
              </w:rPr>
              <w:t xml:space="preserve">分； </w:t>
            </w:r>
          </w:p>
          <w:p w14:paraId="44024543">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2.方案较为完整，实施方法基本可行，设备配备较为齐全，基本满足采购需求的，得</w:t>
            </w:r>
            <w:r>
              <w:rPr>
                <w:rFonts w:hint="eastAsia" w:cs="宋体" w:asciiTheme="minorEastAsia" w:hAnsiTheme="minorEastAsia"/>
                <w:color w:val="auto"/>
                <w:sz w:val="24"/>
                <w:szCs w:val="24"/>
                <w:lang w:val="en-US" w:eastAsia="zh-CN"/>
              </w:rPr>
              <w:t>5</w:t>
            </w:r>
            <w:r>
              <w:rPr>
                <w:rFonts w:hint="eastAsia" w:cs="宋体" w:asciiTheme="minorEastAsia" w:hAnsiTheme="minorEastAsia"/>
                <w:color w:val="auto"/>
                <w:sz w:val="24"/>
                <w:szCs w:val="24"/>
              </w:rPr>
              <w:t xml:space="preserve">分； </w:t>
            </w:r>
          </w:p>
          <w:p w14:paraId="2896E652">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3.方案基本完整，实施方法一般，设备配套一般，部分满足采购需求的，得</w:t>
            </w:r>
            <w:r>
              <w:rPr>
                <w:rFonts w:cs="宋体" w:asciiTheme="minorEastAsia" w:hAnsiTheme="minorEastAsia"/>
                <w:color w:val="auto"/>
                <w:sz w:val="24"/>
                <w:szCs w:val="24"/>
              </w:rPr>
              <w:t>2</w:t>
            </w:r>
            <w:r>
              <w:rPr>
                <w:rFonts w:hint="eastAsia" w:cs="宋体" w:asciiTheme="minorEastAsia" w:hAnsiTheme="minorEastAsia"/>
                <w:color w:val="auto"/>
                <w:sz w:val="24"/>
                <w:szCs w:val="24"/>
              </w:rPr>
              <w:t>分；</w:t>
            </w:r>
          </w:p>
          <w:p w14:paraId="6706C988">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4.方案基本不完整，实施方法差，设备配套差，部分满足采购需求的，得</w:t>
            </w:r>
            <w:r>
              <w:rPr>
                <w:rFonts w:cs="宋体" w:asciiTheme="minorEastAsia" w:hAnsiTheme="minorEastAsia"/>
                <w:color w:val="auto"/>
                <w:sz w:val="24"/>
                <w:szCs w:val="24"/>
              </w:rPr>
              <w:t>1</w:t>
            </w:r>
            <w:r>
              <w:rPr>
                <w:rFonts w:hint="eastAsia" w:cs="宋体" w:asciiTheme="minorEastAsia" w:hAnsiTheme="minorEastAsia"/>
                <w:color w:val="auto"/>
                <w:sz w:val="24"/>
                <w:szCs w:val="24"/>
              </w:rPr>
              <w:t>分；</w:t>
            </w:r>
          </w:p>
          <w:p w14:paraId="59FB9797">
            <w:pPr>
              <w:pageBreakBefore w:val="0"/>
              <w:kinsoku/>
              <w:wordWrap/>
              <w:overflowPunct/>
              <w:topLinePunct w:val="0"/>
              <w:bidi w:val="0"/>
              <w:spacing w:line="360" w:lineRule="auto"/>
              <w:textAlignment w:val="auto"/>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color w:val="auto"/>
                <w:sz w:val="24"/>
                <w:szCs w:val="24"/>
              </w:rPr>
              <w:t xml:space="preserve">5.未提供方案不得分。 </w:t>
            </w:r>
          </w:p>
        </w:tc>
      </w:tr>
      <w:tr w14:paraId="582A5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04" w:type="pct"/>
            <w:gridSpan w:val="2"/>
            <w:vAlign w:val="center"/>
          </w:tcPr>
          <w:p w14:paraId="66FFF4D0">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595" w:type="pct"/>
            <w:gridSpan w:val="2"/>
            <w:vAlign w:val="center"/>
          </w:tcPr>
          <w:p w14:paraId="39A52329">
            <w:pPr>
              <w:pageBreakBefore w:val="0"/>
              <w:kinsoku/>
              <w:wordWrap/>
              <w:overflowPunct/>
              <w:topLinePunct w:val="0"/>
              <w:bidi w:val="0"/>
              <w:spacing w:line="360" w:lineRule="auto"/>
              <w:jc w:val="center"/>
              <w:textAlignment w:val="auto"/>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cstheme="minorEastAsia"/>
                <w:color w:val="auto"/>
                <w:sz w:val="24"/>
                <w:szCs w:val="24"/>
              </w:rPr>
              <w:t>项目实施服务方案</w:t>
            </w:r>
          </w:p>
        </w:tc>
        <w:tc>
          <w:tcPr>
            <w:tcW w:w="430" w:type="pct"/>
            <w:vAlign w:val="center"/>
          </w:tcPr>
          <w:p w14:paraId="0DEA2028">
            <w:pPr>
              <w:pageBreakBefore w:val="0"/>
              <w:widowControl/>
              <w:kinsoku/>
              <w:wordWrap/>
              <w:overflowPunct/>
              <w:topLinePunct w:val="0"/>
              <w:bidi w:val="0"/>
              <w:spacing w:line="360" w:lineRule="auto"/>
              <w:jc w:val="center"/>
              <w:textAlignment w:val="auto"/>
              <w:rPr>
                <w:rFonts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10</w:t>
            </w:r>
            <w:r>
              <w:rPr>
                <w:rFonts w:hint="eastAsia" w:asciiTheme="minorEastAsia" w:hAnsiTheme="minorEastAsia" w:cstheme="minorEastAsia"/>
                <w:color w:val="auto"/>
                <w:sz w:val="24"/>
                <w:szCs w:val="24"/>
              </w:rPr>
              <w:t>分</w:t>
            </w:r>
          </w:p>
        </w:tc>
        <w:tc>
          <w:tcPr>
            <w:tcW w:w="3570" w:type="pct"/>
            <w:gridSpan w:val="4"/>
            <w:vAlign w:val="center"/>
          </w:tcPr>
          <w:p w14:paraId="2A6C56EF">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对各投标人组织实施方案是否满足医院需求，完善可行、具体合理进行评审打分：</w:t>
            </w:r>
          </w:p>
          <w:p w14:paraId="7419DA57">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1.实施方案能够结合采购人情况设置，方案完善可行、具体合理，得</w:t>
            </w:r>
            <w:r>
              <w:rPr>
                <w:rFonts w:hint="eastAsia" w:cs="宋体" w:asciiTheme="minorEastAsia" w:hAnsiTheme="minorEastAsia"/>
                <w:color w:val="auto"/>
                <w:sz w:val="24"/>
                <w:szCs w:val="24"/>
                <w:lang w:val="en-US" w:eastAsia="zh-CN"/>
              </w:rPr>
              <w:t>10</w:t>
            </w:r>
            <w:r>
              <w:rPr>
                <w:rFonts w:hint="eastAsia" w:cs="宋体" w:asciiTheme="minorEastAsia" w:hAnsiTheme="minorEastAsia"/>
                <w:color w:val="auto"/>
                <w:sz w:val="24"/>
                <w:szCs w:val="24"/>
              </w:rPr>
              <w:t>分；</w:t>
            </w:r>
          </w:p>
          <w:p w14:paraId="2995333E">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2.实施方案能够结合采购人情况设置，方案较完善可行、较具体合理，得</w:t>
            </w:r>
            <w:r>
              <w:rPr>
                <w:rFonts w:hint="eastAsia" w:cs="宋体" w:asciiTheme="minorEastAsia" w:hAnsiTheme="minorEastAsia"/>
                <w:color w:val="auto"/>
                <w:sz w:val="24"/>
                <w:szCs w:val="24"/>
                <w:lang w:val="en-US" w:eastAsia="zh-CN"/>
              </w:rPr>
              <w:t>7</w:t>
            </w:r>
            <w:r>
              <w:rPr>
                <w:rFonts w:hint="eastAsia" w:cs="宋体" w:asciiTheme="minorEastAsia" w:hAnsiTheme="minorEastAsia"/>
                <w:color w:val="auto"/>
                <w:sz w:val="24"/>
                <w:szCs w:val="24"/>
              </w:rPr>
              <w:t>分；</w:t>
            </w:r>
          </w:p>
          <w:p w14:paraId="798647EC">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hint="eastAsia" w:cs="宋体" w:asciiTheme="minorEastAsia" w:hAnsiTheme="minorEastAsia"/>
                <w:color w:val="auto"/>
                <w:sz w:val="24"/>
                <w:szCs w:val="24"/>
              </w:rPr>
              <w:t>3.实施方案不能结合采购人情况设置，方案不够完善且可行性一般、不够具体且不够合理，得</w:t>
            </w:r>
            <w:r>
              <w:rPr>
                <w:rFonts w:hint="eastAsia" w:cs="宋体" w:asciiTheme="minorEastAsia" w:hAnsiTheme="minorEastAsia"/>
                <w:color w:val="auto"/>
                <w:sz w:val="24"/>
                <w:szCs w:val="24"/>
                <w:lang w:val="en-US" w:eastAsia="zh-CN"/>
              </w:rPr>
              <w:t>5</w:t>
            </w:r>
            <w:r>
              <w:rPr>
                <w:rFonts w:hint="eastAsia" w:cs="宋体" w:asciiTheme="minorEastAsia" w:hAnsiTheme="minorEastAsia"/>
                <w:color w:val="auto"/>
                <w:sz w:val="24"/>
                <w:szCs w:val="24"/>
              </w:rPr>
              <w:t>分；</w:t>
            </w:r>
          </w:p>
          <w:p w14:paraId="6EE0B866">
            <w:pPr>
              <w:pageBreakBefore w:val="0"/>
              <w:kinsoku/>
              <w:wordWrap/>
              <w:overflowPunct/>
              <w:topLinePunct w:val="0"/>
              <w:bidi w:val="0"/>
              <w:spacing w:line="360" w:lineRule="auto"/>
              <w:textAlignment w:val="auto"/>
              <w:rPr>
                <w:rFonts w:cs="宋体" w:asciiTheme="minorEastAsia" w:hAnsiTheme="minorEastAsia"/>
                <w:color w:val="auto"/>
                <w:sz w:val="24"/>
                <w:szCs w:val="24"/>
              </w:rPr>
            </w:pPr>
            <w:r>
              <w:rPr>
                <w:rFonts w:cs="宋体" w:asciiTheme="minorEastAsia" w:hAnsiTheme="minorEastAsia"/>
                <w:color w:val="auto"/>
                <w:sz w:val="24"/>
                <w:szCs w:val="24"/>
              </w:rPr>
              <w:t>4.实施方案不能结合采购人情况设置，方案不完善，可行性差，不具体且不合理，得</w:t>
            </w:r>
            <w:r>
              <w:rPr>
                <w:rFonts w:hint="eastAsia" w:cs="宋体" w:asciiTheme="minorEastAsia" w:hAnsiTheme="minorEastAsia"/>
                <w:color w:val="auto"/>
                <w:sz w:val="24"/>
                <w:szCs w:val="24"/>
                <w:lang w:val="en-US" w:eastAsia="zh-CN"/>
              </w:rPr>
              <w:t>2</w:t>
            </w:r>
            <w:r>
              <w:rPr>
                <w:rFonts w:hint="eastAsia" w:cs="宋体" w:asciiTheme="minorEastAsia" w:hAnsiTheme="minorEastAsia"/>
                <w:color w:val="auto"/>
                <w:sz w:val="24"/>
                <w:szCs w:val="24"/>
              </w:rPr>
              <w:t>分；</w:t>
            </w:r>
          </w:p>
          <w:p w14:paraId="10EC85E8">
            <w:pPr>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kern w:val="2"/>
                <w:sz w:val="24"/>
                <w:szCs w:val="24"/>
                <w:lang w:val="en-US" w:eastAsia="zh-CN" w:bidi="ar-SA"/>
              </w:rPr>
            </w:pPr>
            <w:r>
              <w:rPr>
                <w:rFonts w:cs="宋体" w:asciiTheme="minorEastAsia" w:hAnsiTheme="minorEastAsia"/>
                <w:color w:val="auto"/>
                <w:sz w:val="24"/>
                <w:szCs w:val="24"/>
              </w:rPr>
              <w:t>5</w:t>
            </w:r>
            <w:r>
              <w:rPr>
                <w:rFonts w:hint="eastAsia" w:cs="宋体" w:asciiTheme="minorEastAsia" w:hAnsiTheme="minorEastAsia"/>
                <w:color w:val="auto"/>
                <w:sz w:val="24"/>
                <w:szCs w:val="24"/>
              </w:rPr>
              <w:t>.不提供不得分。</w:t>
            </w:r>
          </w:p>
        </w:tc>
      </w:tr>
      <w:tr w14:paraId="0AB9A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04" w:type="pct"/>
            <w:gridSpan w:val="2"/>
            <w:vAlign w:val="center"/>
          </w:tcPr>
          <w:p w14:paraId="0EF917F5">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8</w:t>
            </w:r>
          </w:p>
        </w:tc>
        <w:tc>
          <w:tcPr>
            <w:tcW w:w="595" w:type="pct"/>
            <w:gridSpan w:val="2"/>
            <w:vAlign w:val="center"/>
          </w:tcPr>
          <w:p w14:paraId="58F5CF8A">
            <w:pPr>
              <w:pageBreakBefore w:val="0"/>
              <w:kinsoku/>
              <w:wordWrap/>
              <w:overflowPunct/>
              <w:topLinePunct w:val="0"/>
              <w:bidi w:val="0"/>
              <w:spacing w:line="360" w:lineRule="auto"/>
              <w:jc w:val="center"/>
              <w:textAlignment w:val="auto"/>
              <w:rPr>
                <w:rFonts w:hint="eastAsia" w:ascii="宋体" w:hAnsi="宋体" w:eastAsia="宋体" w:cs="宋体"/>
                <w:bCs/>
                <w:color w:val="auto"/>
                <w:sz w:val="24"/>
                <w:szCs w:val="24"/>
              </w:rPr>
            </w:pPr>
            <w:r>
              <w:rPr>
                <w:rFonts w:hint="eastAsia" w:ascii="宋体" w:hAnsi="宋体" w:eastAsia="宋体" w:cs="宋体"/>
                <w:color w:val="auto"/>
                <w:kern w:val="0"/>
                <w:sz w:val="24"/>
                <w:szCs w:val="24"/>
              </w:rPr>
              <w:t>售后服务</w:t>
            </w:r>
          </w:p>
        </w:tc>
        <w:tc>
          <w:tcPr>
            <w:tcW w:w="430" w:type="pct"/>
            <w:vAlign w:val="center"/>
          </w:tcPr>
          <w:p w14:paraId="312B25B8">
            <w:pPr>
              <w:pageBreakBefore w:val="0"/>
              <w:widowControl/>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3570" w:type="pct"/>
            <w:gridSpan w:val="4"/>
            <w:vAlign w:val="center"/>
          </w:tcPr>
          <w:p w14:paraId="26A2CF7C">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具备完善的售后服务，包括免费服务电话、网络查询、微信查询等多种渠道供采购人进行业务咨询、报告查询、账单查询统计功能。制定完善制度和流程保障上门服务，并派驻具有医学检验背景的专业人员提供上门售后服务。 </w:t>
            </w:r>
          </w:p>
          <w:p w14:paraId="7B814579">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1.方案完整，实施方法可行，售后服务</w:t>
            </w:r>
            <w:r>
              <w:rPr>
                <w:rFonts w:hint="eastAsia" w:ascii="宋体" w:hAnsi="宋体" w:eastAsia="宋体" w:cs="宋体"/>
                <w:color w:val="auto"/>
                <w:sz w:val="24"/>
                <w:szCs w:val="24"/>
                <w:lang w:val="en-US" w:eastAsia="zh-CN"/>
              </w:rPr>
              <w:t>完全满足或</w:t>
            </w:r>
            <w:r>
              <w:rPr>
                <w:rFonts w:hint="eastAsia" w:ascii="宋体" w:hAnsi="宋体" w:eastAsia="宋体" w:cs="宋体"/>
                <w:color w:val="auto"/>
                <w:sz w:val="24"/>
                <w:szCs w:val="24"/>
              </w:rPr>
              <w:t>优于采购需求的，得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 xml:space="preserve">分；  </w:t>
            </w:r>
          </w:p>
          <w:p w14:paraId="3B485D28">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2.方案完整，实施方法可行，售后服务</w:t>
            </w:r>
            <w:r>
              <w:rPr>
                <w:rFonts w:hint="eastAsia" w:ascii="宋体" w:hAnsi="宋体" w:eastAsia="宋体" w:cs="宋体"/>
                <w:color w:val="auto"/>
                <w:sz w:val="24"/>
                <w:szCs w:val="24"/>
                <w:lang w:val="en-US" w:eastAsia="zh-CN"/>
              </w:rPr>
              <w:t>部分</w:t>
            </w:r>
            <w:r>
              <w:rPr>
                <w:rFonts w:hint="eastAsia" w:ascii="宋体" w:hAnsi="宋体" w:eastAsia="宋体" w:cs="宋体"/>
                <w:color w:val="auto"/>
                <w:sz w:val="24"/>
                <w:szCs w:val="24"/>
              </w:rPr>
              <w:t>满足采购需求的，得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 xml:space="preserve">分；  </w:t>
            </w:r>
          </w:p>
          <w:p w14:paraId="2F887EEF">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3.方案基本完整，实施方法一般，售后服务部分满足采购需求的，得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分； </w:t>
            </w:r>
          </w:p>
          <w:p w14:paraId="045A4ACD">
            <w:pPr>
              <w:keepNext w:val="0"/>
              <w:keepLines w:val="0"/>
              <w:pageBreakBefore w:val="0"/>
              <w:kinsoku/>
              <w:wordWrap/>
              <w:overflowPunct/>
              <w:topLinePunct w:val="0"/>
              <w:autoSpaceDE/>
              <w:autoSpaceDN/>
              <w:bidi w:val="0"/>
              <w:adjustRightIn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4.方案不完整，实施方法差，售后服务部分满足采购需求的，得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 xml:space="preserve">分； </w:t>
            </w:r>
          </w:p>
          <w:p w14:paraId="226B25B4">
            <w:pPr>
              <w:pageBreakBefore w:val="0"/>
              <w:kinsoku/>
              <w:wordWrap/>
              <w:overflowPunct/>
              <w:topLinePunct w:val="0"/>
              <w:bidi w:val="0"/>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 xml:space="preserve">不提供方案不得分。 </w:t>
            </w:r>
          </w:p>
        </w:tc>
      </w:tr>
      <w:tr w14:paraId="685D8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000" w:type="pct"/>
            <w:gridSpan w:val="9"/>
            <w:vAlign w:val="center"/>
          </w:tcPr>
          <w:p w14:paraId="0F0A505E">
            <w:pPr>
              <w:pageBreakBefore w:val="0"/>
              <w:kinsoku/>
              <w:wordWrap/>
              <w:overflowPunct/>
              <w:topLinePunct w:val="0"/>
              <w:bidi w:val="0"/>
              <w:spacing w:line="360" w:lineRule="auto"/>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价格评分细则</w:t>
            </w:r>
          </w:p>
        </w:tc>
      </w:tr>
      <w:tr w14:paraId="486F4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404" w:type="pct"/>
            <w:gridSpan w:val="2"/>
            <w:vAlign w:val="center"/>
          </w:tcPr>
          <w:p w14:paraId="05C66728">
            <w:pPr>
              <w:pageBreakBefore w:val="0"/>
              <w:kinsoku/>
              <w:wordWrap/>
              <w:overflowPunct/>
              <w:topLinePunct w:val="0"/>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95" w:type="pct"/>
            <w:gridSpan w:val="2"/>
            <w:vAlign w:val="center"/>
          </w:tcPr>
          <w:p w14:paraId="3426F2DD">
            <w:pPr>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投标报价</w:t>
            </w:r>
          </w:p>
        </w:tc>
        <w:tc>
          <w:tcPr>
            <w:tcW w:w="430" w:type="pct"/>
            <w:vAlign w:val="center"/>
          </w:tcPr>
          <w:p w14:paraId="159C2BDD">
            <w:pPr>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10分</w:t>
            </w:r>
          </w:p>
        </w:tc>
        <w:tc>
          <w:tcPr>
            <w:tcW w:w="3570" w:type="pct"/>
            <w:gridSpan w:val="4"/>
            <w:vAlign w:val="center"/>
          </w:tcPr>
          <w:p w14:paraId="17D001AC">
            <w:pPr>
              <w:pageBreakBefore w:val="0"/>
              <w:widowControl/>
              <w:kinsoku/>
              <w:wordWrap/>
              <w:overflowPunct/>
              <w:topLinePunct w:val="0"/>
              <w:bidi w:val="0"/>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综合评分法中的价格分统一采用低价优先法计算，即满足采购文件要求且投标价格最低的投标报价为评标基准价，其价格分为满分，各投标人的价格评分统一按照下列公式计算：</w:t>
            </w:r>
          </w:p>
          <w:p w14:paraId="1E7A8143">
            <w:pPr>
              <w:pageBreakBefore w:val="0"/>
              <w:widowControl/>
              <w:kinsoku/>
              <w:wordWrap/>
              <w:overflowPunct/>
              <w:topLinePunct w:val="0"/>
              <w:bidi w:val="0"/>
              <w:snapToGri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价格得分＝（评标基准价/评标价）×价格分值评标价：按采购文件规定条款的原则校核修正后的价格；</w:t>
            </w:r>
          </w:p>
          <w:p w14:paraId="1EB2F3D8">
            <w:pPr>
              <w:pageBreakBefore w:val="0"/>
              <w:widowControl/>
              <w:kinsoku/>
              <w:wordWrap/>
              <w:overflowPunct/>
              <w:topLinePunct w:val="0"/>
              <w:bidi w:val="0"/>
              <w:snapToGrid w:val="0"/>
              <w:spacing w:line="360" w:lineRule="auto"/>
              <w:ind w:left="-78" w:leftChars="-37" w:right="-73" w:rightChars="-35"/>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评标基准价：各有效投标人的最低评标价。</w:t>
            </w:r>
          </w:p>
        </w:tc>
      </w:tr>
    </w:tbl>
    <w:p w14:paraId="0CFCBEA3">
      <w:pPr>
        <w:pageBreakBefore w:val="0"/>
        <w:numPr>
          <w:ilvl w:val="0"/>
          <w:numId w:val="0"/>
        </w:numPr>
        <w:kinsoku/>
        <w:wordWrap/>
        <w:overflowPunct/>
        <w:topLinePunct w:val="0"/>
        <w:bidi w:val="0"/>
        <w:spacing w:line="360" w:lineRule="auto"/>
        <w:ind w:leftChars="0"/>
        <w:textAlignment w:val="auto"/>
        <w:rPr>
          <w:rFonts w:hint="default" w:ascii="宋体" w:hAnsi="宋体" w:eastAsia="宋体" w:cs="宋体"/>
          <w:b/>
          <w:bCs/>
          <w:color w:val="000000" w:themeColor="text1"/>
          <w:sz w:val="24"/>
          <w:szCs w:val="24"/>
          <w:lang w:val="en-US" w:eastAsia="zh-CN"/>
          <w14:textFill>
            <w14:solidFill>
              <w14:schemeClr w14:val="tx1"/>
            </w14:solidFill>
          </w14:textFill>
        </w:rPr>
      </w:pPr>
    </w:p>
    <w:p w14:paraId="2E3CC335">
      <w:pPr>
        <w:numPr>
          <w:ilvl w:val="0"/>
          <w:numId w:val="0"/>
        </w:numPr>
        <w:rPr>
          <w:rFonts w:hint="eastAsia" w:ascii="宋体" w:hAnsi="宋体" w:eastAsia="宋体" w:cs="宋体"/>
          <w:b/>
          <w:bCs/>
          <w:sz w:val="24"/>
          <w:szCs w:val="24"/>
          <w:lang w:val="en-US" w:eastAsia="zh-CN"/>
        </w:rPr>
      </w:pPr>
    </w:p>
    <w:p w14:paraId="0324ACEE">
      <w:pPr>
        <w:numPr>
          <w:ilvl w:val="0"/>
          <w:numId w:val="0"/>
        </w:numPr>
        <w:rPr>
          <w:rFonts w:hint="default" w:ascii="宋体" w:hAnsi="宋体" w:eastAsia="宋体" w:cs="宋体"/>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C13F27"/>
    <w:multiLevelType w:val="singleLevel"/>
    <w:tmpl w:val="F9C13F27"/>
    <w:lvl w:ilvl="0" w:tentative="0">
      <w:start w:val="2"/>
      <w:numFmt w:val="decimal"/>
      <w:lvlText w:val="%1."/>
      <w:lvlJc w:val="left"/>
      <w:pPr>
        <w:tabs>
          <w:tab w:val="left" w:pos="312"/>
        </w:tabs>
      </w:pPr>
    </w:lvl>
  </w:abstractNum>
  <w:abstractNum w:abstractNumId="1">
    <w:nsid w:val="00AE436F"/>
    <w:multiLevelType w:val="multilevel"/>
    <w:tmpl w:val="00AE436F"/>
    <w:lvl w:ilvl="0" w:tentative="0">
      <w:start w:val="1"/>
      <w:numFmt w:val="decimal"/>
      <w:lvlText w:val="(%1)"/>
      <w:lvlJc w:val="left"/>
      <w:pPr>
        <w:ind w:left="420" w:hanging="420"/>
      </w:pPr>
      <w:rPr>
        <w:rFonts w:hint="default" w:ascii="Calibri" w:hAnsi="Calibri" w:cs="Calibri"/>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val="bestFit" w:percent="221"/>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hZTMxNDhkYTU4ZDc1ZGE0MDZmYzc2MjMwMmNiZDcifQ=="/>
  </w:docVars>
  <w:rsids>
    <w:rsidRoot w:val="26833CC2"/>
    <w:rsid w:val="05F9283D"/>
    <w:rsid w:val="07EA463D"/>
    <w:rsid w:val="0BF26C44"/>
    <w:rsid w:val="0C777E10"/>
    <w:rsid w:val="2358619A"/>
    <w:rsid w:val="26833CC2"/>
    <w:rsid w:val="359A53D6"/>
    <w:rsid w:val="3C81703F"/>
    <w:rsid w:val="3D273FAD"/>
    <w:rsid w:val="50076843"/>
    <w:rsid w:val="555C63CB"/>
    <w:rsid w:val="5CB8704C"/>
    <w:rsid w:val="653F727C"/>
    <w:rsid w:val="68F72AE7"/>
    <w:rsid w:val="6F396A74"/>
    <w:rsid w:val="776E476B"/>
    <w:rsid w:val="7944477B"/>
    <w:rsid w:val="7F5427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unhideWhenUsed/>
    <w:qFormat/>
    <w:uiPriority w:val="0"/>
    <w:pPr>
      <w:jc w:val="left"/>
    </w:pPr>
  </w:style>
  <w:style w:type="paragraph" w:styleId="3">
    <w:name w:val="index 4"/>
    <w:basedOn w:val="1"/>
    <w:next w:val="1"/>
    <w:unhideWhenUsed/>
    <w:qFormat/>
    <w:uiPriority w:val="99"/>
    <w:pPr>
      <w:ind w:left="600" w:leftChars="600"/>
    </w:pPr>
  </w:style>
  <w:style w:type="paragraph" w:styleId="4">
    <w:name w:val="Normal (Web)"/>
    <w:basedOn w:val="1"/>
    <w:qFormat/>
    <w:uiPriority w:val="0"/>
    <w:pPr>
      <w:widowControl/>
      <w:spacing w:before="100" w:beforeAutospacing="1" w:after="100" w:afterAutospacing="1"/>
      <w:jc w:val="left"/>
    </w:pPr>
    <w:rPr>
      <w:rFonts w:ascii="宋体" w:hAnsi="宋体" w:eastAsia="宋体" w:cs="Times New Roman"/>
      <w:color w:val="000000"/>
      <w:kern w:val="0"/>
      <w:sz w:val="24"/>
      <w:szCs w:val="24"/>
    </w:rPr>
  </w:style>
  <w:style w:type="paragraph" w:customStyle="1" w:styleId="7">
    <w:name w:val="正文缩进2格"/>
    <w:basedOn w:val="1"/>
    <w:autoRedefine/>
    <w:qFormat/>
    <w:uiPriority w:val="0"/>
    <w:pPr>
      <w:spacing w:line="600" w:lineRule="exact"/>
      <w:ind w:firstLine="639" w:firstLineChars="206"/>
    </w:pPr>
    <w:rPr>
      <w:rFonts w:ascii="仿宋_GB2312" w:hAnsi="宋体" w:eastAsia="仿宋_GB2312" w:cs="Times New Roman"/>
      <w:sz w:val="31"/>
      <w:szCs w:val="28"/>
    </w:rPr>
  </w:style>
  <w:style w:type="paragraph" w:styleId="8">
    <w:name w:val="List Paragraph"/>
    <w:basedOn w:val="1"/>
    <w:autoRedefine/>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5517</Words>
  <Characters>5999</Characters>
  <Lines>0</Lines>
  <Paragraphs>0</Paragraphs>
  <TotalTime>77</TotalTime>
  <ScaleCrop>false</ScaleCrop>
  <LinksUpToDate>false</LinksUpToDate>
  <CharactersWithSpaces>6024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2024-10-13T04:48:00Z</dcterms:created>
  <dc:creator>邱海山</dc:creator>
  <cp:lastModifiedBy>  </cp:lastModifiedBy>
  <dcterms:modified xsi:type="dcterms:W3CDTF">2024-10-15T07:39:28Z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CDB1548C9D514F0CA7A6D508224BFA60</vt:lpwstr>
  </property>
</Properties>
</file>