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312" w:afterLines="100" w:line="240" w:lineRule="atLeast"/>
        <w:ind w:firstLine="0"/>
        <w:jc w:val="center"/>
        <w:rPr>
          <w:rFonts w:ascii="宋体" w:hAnsi="宋体" w:cs="宋体"/>
          <w:bCs/>
          <w:sz w:val="36"/>
          <w:szCs w:val="36"/>
        </w:rPr>
      </w:pPr>
      <w:bookmarkStart w:id="0" w:name="_Toc497900715"/>
      <w:bookmarkStart w:id="1" w:name="_Toc439705641"/>
      <w:bookmarkStart w:id="2" w:name="_Toc20222"/>
      <w:r>
        <w:rPr>
          <w:rFonts w:hint="eastAsia" w:ascii="宋体" w:hAnsi="宋体" w:cs="宋体"/>
          <w:sz w:val="36"/>
          <w:szCs w:val="36"/>
        </w:rPr>
        <w:t xml:space="preserve"> 惠州市第二人民医院</w:t>
      </w:r>
      <w:r>
        <w:rPr>
          <w:rFonts w:hint="eastAsia" w:ascii="宋体" w:hAnsi="宋体" w:cs="宋体"/>
          <w:bCs/>
          <w:sz w:val="36"/>
          <w:szCs w:val="36"/>
        </w:rPr>
        <w:t>信息系统网络安全等级保护测评</w:t>
      </w:r>
      <w:bookmarkEnd w:id="0"/>
      <w:r>
        <w:rPr>
          <w:rFonts w:hint="eastAsia" w:ascii="宋体" w:hAnsi="宋体" w:cs="宋体"/>
          <w:bCs/>
          <w:sz w:val="36"/>
          <w:szCs w:val="36"/>
        </w:rPr>
        <w:t>项目用户需求书</w:t>
      </w:r>
    </w:p>
    <w:p>
      <w:pPr>
        <w:pStyle w:val="2"/>
        <w:spacing w:line="360" w:lineRule="auto"/>
        <w:ind w:firstLine="0"/>
        <w:rPr>
          <w:rFonts w:ascii="宋体" w:hAnsi="宋体" w:cs="宋体"/>
          <w:szCs w:val="21"/>
        </w:rPr>
      </w:pPr>
      <w:r>
        <w:rPr>
          <w:rFonts w:hint="eastAsia" w:ascii="宋体" w:hAnsi="宋体" w:cs="宋体"/>
          <w:b/>
          <w:bCs/>
          <w:szCs w:val="21"/>
        </w:rPr>
        <w:t>一、项目背景</w:t>
      </w:r>
    </w:p>
    <w:p>
      <w:pPr>
        <w:pStyle w:val="2"/>
        <w:spacing w:line="360" w:lineRule="auto"/>
        <w:ind w:firstLineChars="200"/>
        <w:rPr>
          <w:rFonts w:ascii="宋体" w:hAnsi="宋体" w:cs="宋体"/>
          <w:szCs w:val="21"/>
        </w:rPr>
      </w:pPr>
      <w:r>
        <w:rPr>
          <w:rFonts w:hint="eastAsia" w:ascii="宋体" w:hAnsi="宋体"/>
          <w:szCs w:val="21"/>
        </w:rPr>
        <w:t>本项目为我院信息系统网络安全等级保护测评服务项目，主要用于建立健全的医院网络安全等级保护管理体系。为落实《中华人民共和国网络安全法》、《国家信息化领导小组关于加强信息安全保障工作的意见》、《关于信息安全等级保护工作的实施意见》、《信息安全等级保护管理办法》等法律法规和有关规定，按照省、市发来的《广东省卫生健康系统网络信息与数据安全管理办法（试行）》、《惠州市关于加快推进我市信息系统安全等级保护工作的通知》等文件工作要求：各单位要及时开展网络安全等级保护工作，新建信息系统需完成网络安全等级保护测评工作，三级信息系统每年完成一次等保测评工作，二级信息系统每两年完成一次等保测评工作。现结合我院网络安全等级保护工作部署，需开展信息系统网络安全等级保护测评工作，保障我院主要信息系统安全稳定运行。</w:t>
      </w:r>
    </w:p>
    <w:p>
      <w:pPr>
        <w:pStyle w:val="2"/>
        <w:spacing w:line="360" w:lineRule="auto"/>
        <w:ind w:firstLine="0"/>
        <w:rPr>
          <w:rFonts w:ascii="宋体" w:hAnsi="宋体" w:cs="宋体"/>
          <w:b/>
          <w:bCs/>
          <w:color w:val="000000"/>
          <w:szCs w:val="21"/>
        </w:rPr>
      </w:pPr>
      <w:r>
        <w:rPr>
          <w:rFonts w:hint="eastAsia" w:ascii="宋体" w:hAnsi="宋体" w:cs="宋体"/>
          <w:b/>
          <w:bCs/>
          <w:color w:val="000000"/>
          <w:szCs w:val="21"/>
        </w:rPr>
        <w:t>二、总体要求</w:t>
      </w:r>
    </w:p>
    <w:p>
      <w:pPr>
        <w:pStyle w:val="2"/>
        <w:spacing w:line="360" w:lineRule="auto"/>
        <w:ind w:firstLineChars="200"/>
        <w:rPr>
          <w:rFonts w:ascii="宋体" w:hAnsi="宋体" w:cs="宋体"/>
          <w:color w:val="000000"/>
          <w:szCs w:val="21"/>
        </w:rPr>
      </w:pPr>
      <w:r>
        <w:rPr>
          <w:rFonts w:hint="eastAsia" w:ascii="宋体" w:hAnsi="宋体" w:cs="宋体"/>
          <w:color w:val="000000"/>
          <w:szCs w:val="21"/>
        </w:rPr>
        <w:t>根据《中华人民共和国网络安全法》及《网络安全等级保护条例》，实施符合国家标准的网络安全等级保护体系建设，对医院信息系统的安全等级划分，重点确保医院核心信息系统的安全性，消除网络安全隐患，确保医院网站和信息系统网络安全稳定。实现如下总体安全目标：</w:t>
      </w:r>
    </w:p>
    <w:p>
      <w:pPr>
        <w:pStyle w:val="2"/>
        <w:spacing w:line="360" w:lineRule="auto"/>
        <w:ind w:firstLineChars="200"/>
        <w:rPr>
          <w:rFonts w:ascii="宋体" w:hAnsi="宋体" w:cs="宋体"/>
          <w:color w:val="000000"/>
          <w:szCs w:val="21"/>
        </w:rPr>
      </w:pPr>
      <w:r>
        <w:rPr>
          <w:rFonts w:hint="eastAsia" w:ascii="宋体" w:hAnsi="宋体" w:cs="宋体"/>
          <w:color w:val="000000"/>
          <w:szCs w:val="21"/>
        </w:rPr>
        <w:t>（1）通过对信息系统所承载业务及业务流程的分析，分析信息系统内信息资产和信息系统所提供服务的重要性，判断信息系统中业务信息和所提供的服务机密性、完整性或可用性等安全属性遭到破坏后，对国家安全利益、经济建设、公共利益或单位利益所造成的影响程度。提出等级建议，协助我院进行系统定级。</w:t>
      </w:r>
    </w:p>
    <w:p>
      <w:pPr>
        <w:pStyle w:val="2"/>
        <w:spacing w:line="360" w:lineRule="auto"/>
        <w:ind w:firstLineChars="200"/>
        <w:rPr>
          <w:rFonts w:ascii="宋体" w:hAnsi="宋体" w:cs="宋体"/>
          <w:color w:val="000000"/>
          <w:szCs w:val="21"/>
        </w:rPr>
      </w:pPr>
      <w:r>
        <w:rPr>
          <w:rFonts w:hint="eastAsia" w:ascii="宋体" w:hAnsi="宋体" w:cs="宋体"/>
          <w:color w:val="000000"/>
          <w:szCs w:val="21"/>
        </w:rPr>
        <w:t>（2）以等级保护标准要求为依据，对我院信息系统在安全物理环境、安全通信网络、安全区域边界、安全计算环境、安全管理中心、安全管理制度、安全管理机构、安全管理人员、安全建设管理和安全运维管理方面的测评，发现安全保护现状，并为确立安全策略、制定安全规划、开展安全建设提供决策建议，完成网络安全等级保护测评工作。</w:t>
      </w:r>
    </w:p>
    <w:p>
      <w:pPr>
        <w:pStyle w:val="2"/>
        <w:spacing w:line="360" w:lineRule="auto"/>
        <w:ind w:firstLine="0"/>
        <w:rPr>
          <w:rFonts w:ascii="宋体" w:hAnsi="宋体" w:cs="宋体"/>
          <w:b/>
          <w:bCs/>
          <w:szCs w:val="21"/>
        </w:rPr>
      </w:pPr>
      <w:bookmarkStart w:id="3" w:name="_Toc70352559"/>
      <w:bookmarkStart w:id="4" w:name="_Toc17805"/>
      <w:r>
        <w:rPr>
          <w:rFonts w:hint="eastAsia" w:ascii="宋体" w:hAnsi="宋体" w:cs="宋体"/>
          <w:b/>
          <w:bCs/>
          <w:color w:val="000000"/>
          <w:szCs w:val="21"/>
        </w:rPr>
        <w:t>三、</w:t>
      </w:r>
      <w:r>
        <w:rPr>
          <w:rFonts w:ascii="宋体" w:hAnsi="宋体" w:cs="宋体"/>
          <w:b/>
          <w:bCs/>
          <w:szCs w:val="21"/>
        </w:rPr>
        <w:t>项目</w:t>
      </w:r>
      <w:bookmarkEnd w:id="3"/>
      <w:bookmarkEnd w:id="4"/>
      <w:r>
        <w:rPr>
          <w:rFonts w:hint="eastAsia" w:ascii="宋体" w:hAnsi="宋体" w:cs="宋体"/>
          <w:b/>
          <w:bCs/>
          <w:szCs w:val="21"/>
        </w:rPr>
        <w:t>内容</w:t>
      </w:r>
    </w:p>
    <w:p>
      <w:pPr>
        <w:pStyle w:val="2"/>
        <w:spacing w:line="360" w:lineRule="auto"/>
        <w:ind w:firstLine="0"/>
        <w:rPr>
          <w:rFonts w:ascii="宋体" w:hAnsi="宋体" w:cs="宋体"/>
          <w:szCs w:val="21"/>
        </w:rPr>
      </w:pPr>
      <w:r>
        <w:rPr>
          <w:rFonts w:hint="eastAsia" w:ascii="宋体" w:hAnsi="宋体" w:cs="宋体"/>
          <w:szCs w:val="21"/>
        </w:rPr>
        <w:t>需测评系统一栏表：</w:t>
      </w:r>
    </w:p>
    <w:tbl>
      <w:tblPr>
        <w:tblStyle w:val="10"/>
        <w:tblW w:w="4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169"/>
        <w:gridCol w:w="1847"/>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r>
              <w:rPr>
                <w:rFonts w:hint="eastAsia" w:ascii="宋体" w:hAnsi="宋体" w:cs="宋体"/>
                <w:b/>
                <w:szCs w:val="21"/>
              </w:rPr>
              <w:t>序号</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r>
              <w:rPr>
                <w:rFonts w:hint="eastAsia" w:ascii="宋体" w:hAnsi="宋体" w:cs="宋体"/>
                <w:b/>
                <w:szCs w:val="21"/>
              </w:rPr>
              <w:t>测评系统名称</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r>
              <w:rPr>
                <w:rFonts w:hint="eastAsia" w:ascii="宋体" w:hAnsi="宋体" w:cs="宋体"/>
                <w:b/>
                <w:szCs w:val="21"/>
              </w:rPr>
              <w:t>系统级别</w:t>
            </w:r>
          </w:p>
        </w:tc>
        <w:tc>
          <w:tcPr>
            <w:tcW w:w="1841"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b/>
                <w:szCs w:val="21"/>
              </w:rPr>
            </w:pPr>
            <w:r>
              <w:rPr>
                <w:rFonts w:hint="eastAsia" w:ascii="宋体" w:hAnsi="宋体" w:cs="宋体"/>
                <w:b/>
                <w:szCs w:val="21"/>
              </w:rPr>
              <w:t>测评时间要求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1</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HI</w:t>
            </w:r>
            <w:r>
              <w:rPr>
                <w:rFonts w:hint="eastAsia" w:ascii="宋体" w:hAnsi="宋体" w:cs="宋体"/>
                <w:szCs w:val="21"/>
              </w:rPr>
              <w:t>S系统</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三级</w:t>
            </w:r>
          </w:p>
        </w:tc>
        <w:tc>
          <w:tcPr>
            <w:tcW w:w="1841"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202</w:t>
            </w:r>
            <w:r>
              <w:rPr>
                <w:rFonts w:hint="eastAsia" w:ascii="宋体" w:hAnsi="宋体" w:cs="宋体"/>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2</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EMR</w:t>
            </w:r>
            <w:r>
              <w:rPr>
                <w:rFonts w:hint="eastAsia" w:ascii="宋体" w:hAnsi="宋体" w:cs="宋体"/>
                <w:szCs w:val="21"/>
              </w:rPr>
              <w:t>系统</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三级</w:t>
            </w:r>
          </w:p>
        </w:tc>
        <w:tc>
          <w:tcPr>
            <w:tcW w:w="1841"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202</w:t>
            </w:r>
            <w:r>
              <w:rPr>
                <w:rFonts w:hint="eastAsia" w:ascii="宋体" w:hAnsi="宋体" w:cs="宋体"/>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3</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集成平台与数据中心</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三级</w:t>
            </w:r>
          </w:p>
        </w:tc>
        <w:tc>
          <w:tcPr>
            <w:tcW w:w="1841"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ascii="宋体" w:hAnsi="宋体" w:cs="宋体"/>
                <w:szCs w:val="21"/>
              </w:rPr>
              <w:t>202</w:t>
            </w:r>
            <w:r>
              <w:rPr>
                <w:rFonts w:hint="eastAsia" w:ascii="宋体" w:hAnsi="宋体" w:cs="宋体"/>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4</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互联网医院系统</w:t>
            </w:r>
          </w:p>
        </w:tc>
        <w:tc>
          <w:tcPr>
            <w:tcW w:w="1187"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三级</w:t>
            </w:r>
          </w:p>
        </w:tc>
        <w:tc>
          <w:tcPr>
            <w:tcW w:w="184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宋体" w:hAnsi="宋体" w:cs="宋体"/>
                <w:szCs w:val="21"/>
              </w:rPr>
              <w:t>202</w:t>
            </w:r>
            <w:r>
              <w:rPr>
                <w:rFonts w:hint="eastAsia" w:ascii="宋体" w:hAnsi="宋体" w:cs="宋体"/>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5</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宋体" w:hAnsi="宋体" w:cs="宋体"/>
                <w:szCs w:val="21"/>
              </w:rPr>
            </w:pPr>
            <w:r>
              <w:rPr>
                <w:rFonts w:hint="eastAsia" w:ascii="宋体" w:hAnsi="宋体" w:cs="宋体"/>
                <w:szCs w:val="21"/>
              </w:rPr>
              <w:t>AI病历质控系统</w:t>
            </w:r>
          </w:p>
        </w:tc>
        <w:tc>
          <w:tcPr>
            <w:tcW w:w="1187" w:type="pct"/>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cs="宋体"/>
                <w:szCs w:val="21"/>
              </w:rPr>
            </w:pPr>
            <w:r>
              <w:rPr>
                <w:rFonts w:hint="eastAsia" w:ascii="宋体" w:hAnsi="宋体" w:cs="宋体"/>
                <w:szCs w:val="21"/>
              </w:rPr>
              <w:t>二级</w:t>
            </w:r>
          </w:p>
        </w:tc>
        <w:tc>
          <w:tcPr>
            <w:tcW w:w="184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2025年</w:t>
            </w:r>
          </w:p>
        </w:tc>
      </w:tr>
    </w:tbl>
    <w:p>
      <w:pPr>
        <w:spacing w:line="338" w:lineRule="auto"/>
        <w:jc w:val="left"/>
      </w:pPr>
      <w:r>
        <w:rPr>
          <w:rFonts w:hint="eastAsia" w:ascii="宋体" w:hAnsi="宋体" w:cs="宋体"/>
          <w:szCs w:val="21"/>
        </w:rPr>
        <w:t xml:space="preserve"> </w:t>
      </w:r>
      <w:r>
        <w:rPr>
          <w:rFonts w:ascii="宋体" w:hAnsi="宋体" w:cs="宋体"/>
          <w:szCs w:val="21"/>
        </w:rPr>
        <w:t xml:space="preserve"> </w:t>
      </w:r>
    </w:p>
    <w:p>
      <w:pPr>
        <w:pStyle w:val="2"/>
        <w:spacing w:line="360" w:lineRule="auto"/>
        <w:ind w:firstLine="0"/>
        <w:rPr>
          <w:rFonts w:ascii="宋体" w:hAnsi="宋体" w:cs="宋体"/>
          <w:b/>
          <w:bCs/>
          <w:color w:val="000000"/>
          <w:szCs w:val="21"/>
        </w:rPr>
      </w:pPr>
      <w:r>
        <w:rPr>
          <w:rFonts w:hint="eastAsia" w:ascii="宋体" w:hAnsi="宋体" w:cs="宋体"/>
          <w:b/>
          <w:bCs/>
          <w:color w:val="000000"/>
          <w:szCs w:val="21"/>
        </w:rPr>
        <w:t>四、商务要求</w:t>
      </w:r>
    </w:p>
    <w:p>
      <w:pPr>
        <w:pStyle w:val="2"/>
        <w:spacing w:line="360" w:lineRule="auto"/>
        <w:rPr>
          <w:rFonts w:ascii="宋体" w:hAnsi="宋体" w:cs="宋体"/>
          <w:bCs/>
          <w:color w:val="000000"/>
          <w:szCs w:val="21"/>
        </w:rPr>
      </w:pPr>
      <w:r>
        <w:rPr>
          <w:rFonts w:hint="eastAsia" w:ascii="宋体" w:hAnsi="宋体" w:cs="宋体"/>
          <w:bCs/>
          <w:color w:val="000000"/>
          <w:szCs w:val="21"/>
        </w:rPr>
        <w:t>1、投标人应具备《中华人民共和国政府采购法》第二十二条规定的条件，提供下列材料：</w:t>
      </w:r>
    </w:p>
    <w:p>
      <w:pPr>
        <w:pStyle w:val="2"/>
        <w:spacing w:line="360" w:lineRule="auto"/>
        <w:rPr>
          <w:rFonts w:ascii="宋体" w:hAnsi="宋体" w:cs="宋体"/>
          <w:bCs/>
          <w:color w:val="000000"/>
          <w:szCs w:val="21"/>
        </w:rPr>
      </w:pPr>
      <w:r>
        <w:rPr>
          <w:rFonts w:hint="eastAsia" w:ascii="宋体" w:hAnsi="宋体" w:cs="宋体"/>
          <w:bCs/>
          <w:color w:val="000000"/>
          <w:szCs w:val="21"/>
        </w:rPr>
        <w:t>1）具有独立承担民事责任的能力：投标人需提供以下相关证照的扫描件之一：1.企业法人提供企业法人营业执照；2.事业法人提供事业法人登记证；3.其他组织提供其他组织的营业执照或执业许可证；4.自然人提供居民身份证等。分支机构投标的，还须提供分支机构的营业执照（执业许可证）扫描件及总公司（总所）出具给分支机构的授权书。</w:t>
      </w:r>
    </w:p>
    <w:p>
      <w:pPr>
        <w:pStyle w:val="2"/>
        <w:spacing w:line="360" w:lineRule="auto"/>
        <w:rPr>
          <w:rFonts w:ascii="宋体" w:hAnsi="宋体" w:cs="宋体"/>
          <w:bCs/>
          <w:color w:val="000000"/>
          <w:szCs w:val="21"/>
        </w:rPr>
      </w:pPr>
      <w:r>
        <w:rPr>
          <w:rFonts w:hint="eastAsia" w:ascii="宋体" w:hAnsi="宋体" w:cs="宋体"/>
          <w:bCs/>
          <w:color w:val="000000"/>
          <w:szCs w:val="21"/>
        </w:rPr>
        <w:t>2）有依法缴纳税收和社会保障资金的良好记录，提供近半年内任意一个月的缴纳税收和社保证明。</w:t>
      </w:r>
    </w:p>
    <w:p>
      <w:pPr>
        <w:pStyle w:val="2"/>
        <w:spacing w:line="360" w:lineRule="auto"/>
        <w:rPr>
          <w:rFonts w:ascii="宋体" w:hAnsi="宋体" w:cs="宋体"/>
          <w:bCs/>
          <w:color w:val="000000"/>
          <w:szCs w:val="21"/>
        </w:rPr>
      </w:pPr>
      <w:r>
        <w:rPr>
          <w:rFonts w:hint="eastAsia" w:ascii="宋体" w:hAnsi="宋体" w:cs="宋体"/>
          <w:bCs/>
          <w:color w:val="000000"/>
          <w:szCs w:val="21"/>
        </w:rPr>
        <w:t>3）具有良好的商业信誉和健全的财务会计制度，提供财务审计报告或者银行资信证明</w:t>
      </w:r>
    </w:p>
    <w:p>
      <w:pPr>
        <w:pStyle w:val="2"/>
        <w:spacing w:line="360" w:lineRule="auto"/>
        <w:rPr>
          <w:rFonts w:ascii="宋体" w:hAnsi="宋体" w:cs="宋体"/>
          <w:bCs/>
          <w:color w:val="000000"/>
          <w:szCs w:val="21"/>
        </w:rPr>
      </w:pPr>
      <w:r>
        <w:rPr>
          <w:rFonts w:hint="eastAsia" w:ascii="宋体" w:hAnsi="宋体" w:cs="宋体"/>
          <w:bCs/>
          <w:color w:val="000000"/>
          <w:szCs w:val="21"/>
        </w:rPr>
        <w:t>4）履行合同所必需的设备和专业技术能力，依据《投标人资格声明函》及其附件。</w:t>
      </w:r>
    </w:p>
    <w:p>
      <w:pPr>
        <w:pStyle w:val="2"/>
        <w:spacing w:line="360" w:lineRule="auto"/>
        <w:ind w:firstLineChars="200"/>
        <w:rPr>
          <w:rFonts w:ascii="宋体" w:hAnsi="宋体" w:cs="宋体"/>
          <w:bCs/>
          <w:color w:val="000000"/>
          <w:szCs w:val="21"/>
        </w:rPr>
      </w:pPr>
      <w:r>
        <w:rPr>
          <w:rFonts w:hint="eastAsia" w:ascii="宋体" w:hAnsi="宋体" w:cs="宋体"/>
          <w:bCs/>
          <w:color w:val="000000"/>
          <w:szCs w:val="21"/>
        </w:rPr>
        <w:t>5）参加采购活动前3年内，在经营活动中没有重大违法记录，依据《投标人资格声明函》及其附件。</w:t>
      </w:r>
    </w:p>
    <w:p>
      <w:pPr>
        <w:pStyle w:val="2"/>
        <w:spacing w:line="360" w:lineRule="auto"/>
        <w:ind w:firstLineChars="200"/>
        <w:rPr>
          <w:rFonts w:ascii="宋体" w:hAnsi="宋体" w:cs="宋体"/>
          <w:b/>
          <w:bCs/>
          <w:color w:val="000000"/>
          <w:szCs w:val="21"/>
        </w:rPr>
      </w:pPr>
      <w:r>
        <w:rPr>
          <w:rFonts w:hint="eastAsia" w:ascii="宋体" w:hAnsi="宋体" w:cs="宋体"/>
          <w:bCs/>
          <w:color w:val="000000"/>
          <w:szCs w:val="21"/>
        </w:rPr>
        <w:t>6）本项目不接受联合体投标，依据《投标人资格声明函》及其附件。</w:t>
      </w:r>
    </w:p>
    <w:p>
      <w:pPr>
        <w:pStyle w:val="2"/>
        <w:spacing w:line="360" w:lineRule="auto"/>
        <w:ind w:firstLine="0"/>
        <w:rPr>
          <w:rFonts w:ascii="宋体" w:hAnsi="宋体" w:cs="宋体"/>
          <w:b/>
          <w:bCs/>
          <w:color w:val="000000"/>
          <w:szCs w:val="21"/>
        </w:rPr>
      </w:pPr>
      <w:r>
        <w:rPr>
          <w:rFonts w:hint="eastAsia" w:ascii="宋体" w:hAnsi="宋体" w:cs="宋体"/>
          <w:b/>
          <w:bCs/>
          <w:color w:val="000000"/>
          <w:szCs w:val="21"/>
        </w:rPr>
        <w:t>五、项目要求</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1、</w:t>
      </w:r>
      <w:r>
        <w:rPr>
          <w:rFonts w:hint="eastAsia" w:ascii="宋体" w:hAnsi="宋体"/>
          <w:szCs w:val="21"/>
          <w:lang w:val="zh-CN"/>
        </w:rPr>
        <w:t>定级备案服务</w:t>
      </w:r>
    </w:p>
    <w:p>
      <w:pPr>
        <w:adjustRightInd w:val="0"/>
        <w:snapToGrid w:val="0"/>
        <w:spacing w:line="360" w:lineRule="auto"/>
        <w:ind w:firstLine="630" w:firstLineChars="300"/>
        <w:rPr>
          <w:rFonts w:ascii="宋体" w:hAnsi="宋体"/>
          <w:szCs w:val="21"/>
          <w:lang w:val="zh-CN"/>
        </w:rPr>
      </w:pPr>
      <w:r>
        <w:rPr>
          <w:rFonts w:hint="eastAsia" w:ascii="宋体" w:hAnsi="宋体"/>
          <w:szCs w:val="21"/>
          <w:lang w:val="zh-CN"/>
        </w:rPr>
        <w:t>根据《信息安全技术信息系统安全等级保护定级指南》等标准要求，协助配合按公安机关最新等保备案要求完善</w:t>
      </w:r>
      <w:r>
        <w:rPr>
          <w:rFonts w:hint="eastAsia" w:ascii="宋体" w:hAnsi="宋体"/>
          <w:color w:val="000000"/>
          <w:szCs w:val="21"/>
          <w:lang w:val="zh-CN"/>
        </w:rPr>
        <w:t>本单位</w:t>
      </w:r>
      <w:r>
        <w:rPr>
          <w:rFonts w:hint="eastAsia" w:ascii="宋体" w:hAnsi="宋体" w:cs="宋体"/>
          <w:color w:val="000000"/>
          <w:szCs w:val="21"/>
        </w:rPr>
        <w:t>信息系统定级测评和备案工作。</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网络安全等级保护风险梳理服务</w:t>
      </w:r>
    </w:p>
    <w:p>
      <w:pPr>
        <w:adjustRightInd w:val="0"/>
        <w:snapToGrid w:val="0"/>
        <w:spacing w:line="360" w:lineRule="auto"/>
        <w:ind w:firstLine="525" w:firstLineChars="250"/>
        <w:rPr>
          <w:rFonts w:ascii="宋体" w:hAnsi="宋体"/>
          <w:szCs w:val="21"/>
          <w:lang w:val="zh-CN"/>
        </w:rPr>
      </w:pPr>
      <w:r>
        <w:rPr>
          <w:rFonts w:hint="eastAsia" w:ascii="宋体" w:hAnsi="宋体"/>
          <w:szCs w:val="21"/>
        </w:rPr>
        <w:t>2.1</w:t>
      </w:r>
      <w:r>
        <w:rPr>
          <w:rFonts w:hint="eastAsia" w:ascii="宋体" w:hAnsi="宋体"/>
          <w:szCs w:val="21"/>
          <w:lang w:val="zh-CN"/>
        </w:rPr>
        <w:t>针对本单位定级系统的安全物理环境、安全通信网络、安全区域边界、安全计算环境、安全管理制度等进行现场测评和差距分析，记录相关的测评结果,输出现场测评记录结果。</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2.2</w:t>
      </w:r>
      <w:r>
        <w:rPr>
          <w:rFonts w:hint="eastAsia" w:ascii="宋体" w:hAnsi="宋体"/>
          <w:szCs w:val="21"/>
          <w:lang w:val="zh-CN"/>
        </w:rPr>
        <w:t>依照《等级保护现场测评记录》中所记录的针对本单位定级系统的技术和管理测评结果，结合系统整体差距测评结果，按照公安部标准测评报告模板撰写测评记录，完成提交《整改问题清单》或《风险梳理报告》。</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3、</w:t>
      </w:r>
      <w:r>
        <w:rPr>
          <w:rFonts w:hint="eastAsia" w:ascii="宋体" w:hAnsi="宋体"/>
          <w:szCs w:val="21"/>
          <w:lang w:val="zh-CN"/>
        </w:rPr>
        <w:t>信息安全等级保护测评服务</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3.1</w:t>
      </w:r>
      <w:r>
        <w:rPr>
          <w:rFonts w:hint="eastAsia" w:ascii="宋体" w:hAnsi="宋体"/>
          <w:szCs w:val="21"/>
          <w:lang w:val="zh-CN"/>
        </w:rPr>
        <w:t>在信息系统完成差距测评后，本单位整改实施完成，测评方对信息系统的安全技术和安全管理各个层面的安全控制进行整体性验证，针对本单位定级系统进行全面的信息安全等级保护测评。</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3.2</w:t>
      </w:r>
      <w:r>
        <w:rPr>
          <w:rFonts w:hint="eastAsia" w:ascii="宋体" w:hAnsi="宋体"/>
          <w:szCs w:val="21"/>
          <w:lang w:val="zh-CN"/>
        </w:rPr>
        <w:t>等级保护测评包括，安全技术及安全管理测评两个方面。根据现场访谈、配置核查的基础上通过先进的安全测试工具进行安全漏洞、应用系统代码漏洞的扫描及人工核查,在现场测评的结果和本单位定级系统测评在数据汇总分析的基础上，分析系统存在的问题，给出系统等级测评结论，编制《等级保护测评报告》提交公安部门备案，协助用户完成等级保护测评工作。</w:t>
      </w:r>
    </w:p>
    <w:p>
      <w:pPr>
        <w:adjustRightInd w:val="0"/>
        <w:snapToGrid w:val="0"/>
        <w:spacing w:line="360" w:lineRule="auto"/>
        <w:ind w:firstLine="420" w:firstLineChars="200"/>
        <w:rPr>
          <w:rFonts w:ascii="宋体" w:hAnsi="宋体"/>
          <w:bCs/>
          <w:szCs w:val="21"/>
          <w:lang w:val="zh-CN"/>
        </w:rPr>
      </w:pPr>
      <w:bookmarkStart w:id="5" w:name="_Toc66445621"/>
      <w:r>
        <w:rPr>
          <w:rFonts w:hint="eastAsia" w:ascii="宋体" w:hAnsi="宋体"/>
          <w:bCs/>
          <w:szCs w:val="21"/>
          <w:lang w:val="zh-CN"/>
        </w:rPr>
        <w:t>4</w:t>
      </w:r>
      <w:r>
        <w:rPr>
          <w:rFonts w:ascii="宋体" w:hAnsi="宋体"/>
          <w:bCs/>
          <w:szCs w:val="21"/>
          <w:lang w:val="zh-CN"/>
        </w:rPr>
        <w:t>.</w:t>
      </w:r>
      <w:r>
        <w:rPr>
          <w:rFonts w:hint="eastAsia" w:ascii="宋体" w:hAnsi="宋体"/>
          <w:bCs/>
          <w:szCs w:val="21"/>
          <w:lang w:val="zh-CN"/>
        </w:rPr>
        <w:t>测评工具要求</w:t>
      </w:r>
      <w:bookmarkEnd w:id="5"/>
    </w:p>
    <w:p>
      <w:pPr>
        <w:wordWrap w:val="0"/>
        <w:adjustRightInd w:val="0"/>
        <w:snapToGrid w:val="0"/>
        <w:spacing w:line="360" w:lineRule="auto"/>
        <w:ind w:firstLine="420" w:firstLineChars="200"/>
        <w:rPr>
          <w:rFonts w:ascii="宋体" w:hAnsi="宋体"/>
          <w:szCs w:val="21"/>
          <w:lang w:val="zh-CN"/>
        </w:rPr>
      </w:pPr>
      <w:r>
        <w:rPr>
          <w:rFonts w:ascii="宋体" w:hAnsi="宋体"/>
          <w:szCs w:val="21"/>
        </w:rPr>
        <w:t>4.</w:t>
      </w:r>
      <w:r>
        <w:rPr>
          <w:rFonts w:hint="eastAsia" w:ascii="宋体" w:hAnsi="宋体"/>
          <w:szCs w:val="21"/>
        </w:rPr>
        <w:t>1</w:t>
      </w:r>
      <w:r>
        <w:rPr>
          <w:rFonts w:ascii="宋体" w:hAnsi="宋体"/>
          <w:szCs w:val="21"/>
        </w:rPr>
        <w:t xml:space="preserve"> </w:t>
      </w:r>
      <w:r>
        <w:rPr>
          <w:rFonts w:hint="eastAsia" w:ascii="宋体" w:hAnsi="宋体"/>
          <w:szCs w:val="21"/>
          <w:lang w:val="zh-CN"/>
        </w:rPr>
        <w:t>本项目在实施过程测评方需提供能够满足《信息系统等级保护安全设计技术要求》（GB/T25070-2019）、《信息安全等级保护实施指南》（GB/T25058-2019）、《信息系统安全等级保护测评准则》（GB/T28448-2019）等规范中相关测评技术要求的专业安全服务工具，且服务工具由测评方免费提供，测评方应保证所使用的所有工具和软件不具有所有权和知识产权纠纷，并保证工具和软件可用性和可靠性。由此产生的一切责任由测评方负完全责任。</w:t>
      </w:r>
    </w:p>
    <w:p>
      <w:pPr>
        <w:adjustRightInd w:val="0"/>
        <w:snapToGrid w:val="0"/>
        <w:spacing w:line="360" w:lineRule="auto"/>
        <w:ind w:firstLine="420" w:firstLineChars="200"/>
        <w:rPr>
          <w:rFonts w:ascii="宋体" w:hAnsi="宋体"/>
          <w:szCs w:val="21"/>
          <w:lang w:val="zh-CN"/>
        </w:rPr>
      </w:pPr>
      <w:r>
        <w:rPr>
          <w:rFonts w:ascii="宋体" w:hAnsi="宋体"/>
          <w:szCs w:val="21"/>
        </w:rPr>
        <w:t>4.</w:t>
      </w:r>
      <w:r>
        <w:rPr>
          <w:rFonts w:hint="eastAsia" w:ascii="宋体" w:hAnsi="宋体"/>
          <w:szCs w:val="21"/>
        </w:rPr>
        <w:t>2</w:t>
      </w:r>
      <w:r>
        <w:rPr>
          <w:rFonts w:ascii="宋体" w:hAnsi="宋体"/>
          <w:szCs w:val="21"/>
        </w:rPr>
        <w:t xml:space="preserve"> </w:t>
      </w:r>
      <w:r>
        <w:rPr>
          <w:rFonts w:hint="eastAsia" w:ascii="宋体" w:hAnsi="宋体"/>
          <w:szCs w:val="21"/>
          <w:lang w:val="zh-CN"/>
        </w:rPr>
        <w:t>测评工具软件运行所需要的硬件平台（如计算机、打印机等）均由测评方自行准备，本单位有权按照相关的要求对设备进行必要的处理。测评方在测评期间未经本单位许可，不得将设备带离本单位指定的场所，也不得使用任何未经本单位确认的存储设备对测评数据进行复制。未经本单位许可，测评方不得向任何第三方泄露医院网络信息相关数据及资料，违者付相应法律责任。</w:t>
      </w:r>
    </w:p>
    <w:p>
      <w:pPr>
        <w:adjustRightInd w:val="0"/>
        <w:snapToGrid w:val="0"/>
        <w:spacing w:line="360" w:lineRule="auto"/>
        <w:ind w:firstLine="420" w:firstLineChars="200"/>
        <w:rPr>
          <w:rFonts w:ascii="宋体" w:hAnsi="宋体"/>
          <w:szCs w:val="21"/>
          <w:lang w:val="zh-CN"/>
        </w:rPr>
      </w:pPr>
      <w:r>
        <w:rPr>
          <w:rFonts w:ascii="宋体" w:hAnsi="宋体"/>
          <w:szCs w:val="21"/>
        </w:rPr>
        <w:t>4.</w:t>
      </w:r>
      <w:r>
        <w:rPr>
          <w:rFonts w:hint="eastAsia" w:ascii="宋体" w:hAnsi="宋体"/>
          <w:szCs w:val="21"/>
        </w:rPr>
        <w:t>3</w:t>
      </w:r>
      <w:r>
        <w:rPr>
          <w:rFonts w:ascii="宋体" w:hAnsi="宋体"/>
          <w:szCs w:val="21"/>
        </w:rPr>
        <w:t xml:space="preserve"> </w:t>
      </w:r>
      <w:r>
        <w:rPr>
          <w:rFonts w:hint="eastAsia" w:ascii="宋体" w:hAnsi="宋体"/>
          <w:szCs w:val="21"/>
          <w:lang w:val="zh-CN"/>
        </w:rPr>
        <w:t>测评方须在文件中列出专业安全服务工具清单。相关工具指标要求：安全脆弱性扫描技术参数在等级保护测评过程中，采用询问、检查、测试、工具扫描等多种手段组合的方式。工具扫描应至少包括使用安全评估系统(即安全脆弱性扫描)工具对重要服务器、网络设备等进行漏洞扫描。</w:t>
      </w:r>
    </w:p>
    <w:p>
      <w:pPr>
        <w:adjustRightInd w:val="0"/>
        <w:snapToGrid w:val="0"/>
        <w:spacing w:line="360" w:lineRule="auto"/>
        <w:ind w:firstLine="420" w:firstLineChars="200"/>
        <w:rPr>
          <w:rFonts w:ascii="宋体" w:hAnsi="宋体"/>
          <w:bCs/>
          <w:color w:val="000000"/>
          <w:szCs w:val="21"/>
        </w:rPr>
      </w:pPr>
      <w:bookmarkStart w:id="6" w:name="_Toc66445622"/>
      <w:r>
        <w:rPr>
          <w:rFonts w:hint="eastAsia" w:ascii="宋体" w:hAnsi="宋体"/>
          <w:bCs/>
          <w:color w:val="000000"/>
          <w:szCs w:val="21"/>
        </w:rPr>
        <w:t>5、服务质量要求</w:t>
      </w:r>
      <w:bookmarkEnd w:id="6"/>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.1</w:t>
      </w:r>
      <w:r>
        <w:rPr>
          <w:rFonts w:hint="eastAsia" w:ascii="宋体" w:hAnsi="宋体"/>
          <w:color w:val="000000"/>
          <w:szCs w:val="21"/>
          <w:lang w:val="zh-CN"/>
        </w:rPr>
        <w:t>测评方应通过自身在等保测评工作中积累的经验，结合自身的技术优势，充分考虑到信息系统实际情况，提供一份具体细致的、操作性强的等级保护实施计划，并指导我单位完成对安全管理制度的补充完善和整理工作，协助完成信息系统等级保护的相关工作。</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.2</w:t>
      </w:r>
      <w:r>
        <w:rPr>
          <w:rFonts w:hint="eastAsia" w:ascii="宋体" w:hAnsi="宋体"/>
          <w:color w:val="000000"/>
          <w:szCs w:val="21"/>
          <w:lang w:val="zh-CN"/>
        </w:rPr>
        <w:t>测评方应依据《信息安全等级保护管理办法》、《信息系统安全等级保护定级指南》、《信息系统安全等级保护基本要求》、《信息系统安全等级保护测评准则》、《信息系统安全等级保护实施指南》和《信息安全风险评估规范》等有关要求，按照严格程序对信息系统的安全防护能力进行科学公正的综合测评活动，完成对信息系统的等级保护落实情况与等级保护相关标准要求之间的符合程度的测试判定。</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lang w:val="zh-CN"/>
        </w:rPr>
        <w:t>测评过程中，测评方需提供整改指导服务，就本项目成果中的具体内容提供解释，提供信息系统等级保护相关工作的技术支持和指导服务，以帮助我单位完成信息系统整改及提高安全防护能力。</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rPr>
        <w:t>5</w:t>
      </w:r>
      <w:r>
        <w:rPr>
          <w:rFonts w:hint="eastAsia" w:ascii="宋体" w:hAnsi="宋体"/>
          <w:color w:val="000000"/>
          <w:szCs w:val="21"/>
        </w:rPr>
        <w:t>.4</w:t>
      </w:r>
      <w:r>
        <w:rPr>
          <w:rFonts w:hint="eastAsia" w:ascii="宋体" w:hAnsi="宋体"/>
          <w:color w:val="000000"/>
          <w:szCs w:val="21"/>
          <w:lang w:val="zh-CN"/>
        </w:rPr>
        <w:t>测评方应通过在安全技术和安全管理上选用与安全等级相适应的安全控制来实现信息系统安全等级。做到不同安全等级的信息系统应具有不同的安全保护能力，并使信息系统安全等级保护达到公安部门信息系统安全等级保护工作的各项要求，并且须协助我单位取得公安部门等级保护备案证。</w:t>
      </w:r>
    </w:p>
    <w:p>
      <w:pPr>
        <w:adjustRightInd w:val="0"/>
        <w:snapToGrid w:val="0"/>
        <w:spacing w:line="360" w:lineRule="auto"/>
        <w:ind w:firstLine="420" w:firstLineChars="200"/>
        <w:rPr>
          <w:rFonts w:ascii="宋体" w:hAnsi="宋体"/>
          <w:color w:val="000000"/>
          <w:szCs w:val="21"/>
          <w:lang w:val="zh-CN"/>
        </w:rPr>
      </w:pPr>
      <w:r>
        <w:rPr>
          <w:rFonts w:ascii="宋体" w:hAnsi="宋体"/>
          <w:color w:val="000000"/>
          <w:szCs w:val="21"/>
          <w:lang w:val="zh-CN"/>
        </w:rPr>
        <w:t>5.5</w:t>
      </w:r>
      <w:r>
        <w:rPr>
          <w:rFonts w:hint="eastAsia" w:ascii="宋体" w:hAnsi="宋体"/>
          <w:color w:val="000000"/>
          <w:szCs w:val="21"/>
          <w:lang w:val="zh-CN"/>
        </w:rPr>
        <w:t>测评方须服从我单位业务信息系统的统一协调，且必须在项目实施期间由测评方派驻有丰富实施经验的测评师为项目实施团队，全程参与项目实施，现场检测工时必须符合国家相关标准。</w:t>
      </w:r>
    </w:p>
    <w:p>
      <w:pPr>
        <w:adjustRightInd w:val="0"/>
        <w:snapToGrid w:val="0"/>
        <w:spacing w:line="360" w:lineRule="auto"/>
        <w:ind w:firstLine="420" w:firstLineChars="200"/>
        <w:rPr>
          <w:rFonts w:ascii="宋体" w:hAnsi="宋体"/>
          <w:szCs w:val="21"/>
        </w:rPr>
      </w:pPr>
      <w:r>
        <w:rPr>
          <w:rFonts w:ascii="宋体" w:hAnsi="宋体"/>
          <w:color w:val="000000"/>
          <w:szCs w:val="21"/>
          <w:lang w:val="zh-CN"/>
        </w:rPr>
        <w:t>5.6</w:t>
      </w:r>
      <w:r>
        <w:rPr>
          <w:rFonts w:hint="eastAsia" w:ascii="宋体" w:hAnsi="宋体"/>
          <w:color w:val="000000"/>
          <w:szCs w:val="21"/>
          <w:lang w:val="zh-CN"/>
        </w:rPr>
        <w:t>测评方须与我单位签订项目合同、保密协议和现场评测授权书，核实驻场测评师资</w:t>
      </w:r>
      <w:r>
        <w:rPr>
          <w:rFonts w:hint="eastAsia" w:ascii="宋体" w:hAnsi="宋体"/>
          <w:color w:val="000000"/>
          <w:szCs w:val="21"/>
        </w:rPr>
        <w:t>质与投标时对本项目配备的测评师是否一致。确因工作调配需更换测评师，需提前10个工</w:t>
      </w:r>
      <w:r>
        <w:rPr>
          <w:rFonts w:hint="eastAsia" w:ascii="宋体" w:hAnsi="宋体"/>
          <w:szCs w:val="21"/>
        </w:rPr>
        <w:t>作日向本单位书面报备，并提供更换测评师资质证明。</w:t>
      </w:r>
    </w:p>
    <w:p>
      <w:pPr>
        <w:adjustRightInd w:val="0"/>
        <w:snapToGrid w:val="0"/>
        <w:spacing w:line="360" w:lineRule="auto"/>
        <w:ind w:firstLine="420" w:firstLineChars="200"/>
        <w:rPr>
          <w:rFonts w:ascii="宋体" w:hAnsi="宋体"/>
          <w:szCs w:val="21"/>
        </w:rPr>
      </w:pPr>
      <w:r>
        <w:rPr>
          <w:rFonts w:hint="eastAsia" w:ascii="宋体" w:hAnsi="宋体"/>
          <w:szCs w:val="21"/>
        </w:rPr>
        <w:t>▲6、服务资质要求</w:t>
      </w:r>
    </w:p>
    <w:p>
      <w:pPr>
        <w:adjustRightInd w:val="0"/>
        <w:snapToGrid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服务机构资质要求：</w:t>
      </w:r>
    </w:p>
    <w:p>
      <w:pPr>
        <w:adjustRightInd w:val="0"/>
        <w:snapToGrid w:val="0"/>
        <w:spacing w:line="360" w:lineRule="auto"/>
        <w:ind w:firstLine="630" w:firstLineChars="300"/>
        <w:rPr>
          <w:rFonts w:ascii="宋体" w:hAnsi="宋体"/>
          <w:szCs w:val="21"/>
        </w:rPr>
      </w:pPr>
      <w:r>
        <w:rPr>
          <w:rFonts w:hint="eastAsia" w:ascii="宋体" w:hAnsi="宋体"/>
          <w:szCs w:val="21"/>
        </w:rPr>
        <w:t>1）网络安全服务认证证书等级保护测评服务认证；</w:t>
      </w:r>
    </w:p>
    <w:p>
      <w:pPr>
        <w:adjustRightInd w:val="0"/>
        <w:snapToGrid w:val="0"/>
        <w:spacing w:line="360" w:lineRule="auto"/>
        <w:ind w:firstLine="630" w:firstLineChars="300"/>
        <w:rPr>
          <w:rFonts w:ascii="宋体" w:hAnsi="宋体"/>
          <w:szCs w:val="21"/>
        </w:rPr>
      </w:pPr>
      <w:r>
        <w:rPr>
          <w:rFonts w:hint="eastAsia" w:ascii="宋体" w:hAnsi="宋体"/>
          <w:szCs w:val="21"/>
        </w:rPr>
        <w:t>2）具有省级电子政务服务能力水平等级证书；</w:t>
      </w:r>
    </w:p>
    <w:p>
      <w:pPr>
        <w:adjustRightInd w:val="0"/>
        <w:snapToGrid w:val="0"/>
        <w:spacing w:line="360" w:lineRule="auto"/>
        <w:ind w:firstLine="630" w:firstLineChars="300"/>
        <w:rPr>
          <w:rFonts w:ascii="宋体" w:hAnsi="宋体"/>
          <w:szCs w:val="21"/>
        </w:rPr>
      </w:pPr>
      <w:r>
        <w:rPr>
          <w:rFonts w:hint="eastAsia" w:ascii="宋体" w:hAnsi="宋体"/>
          <w:szCs w:val="21"/>
        </w:rPr>
        <w:t>3）信息安全服务资质证书（风险评估一级）；</w:t>
      </w:r>
    </w:p>
    <w:p>
      <w:pPr>
        <w:adjustRightInd w:val="0"/>
        <w:snapToGrid w:val="0"/>
        <w:spacing w:line="360" w:lineRule="auto"/>
        <w:ind w:firstLine="630" w:firstLineChars="300"/>
        <w:rPr>
          <w:rFonts w:ascii="宋体" w:hAnsi="宋体"/>
          <w:szCs w:val="21"/>
        </w:rPr>
      </w:pPr>
      <w:r>
        <w:rPr>
          <w:rFonts w:hint="eastAsia" w:ascii="宋体" w:hAnsi="宋体"/>
          <w:szCs w:val="21"/>
        </w:rPr>
        <w:t>4）具有质量管理体系认证证书、信息安全管理体系认证证书、环境管理体系认证证书、职业健康安全管理体系认证证书；</w:t>
      </w:r>
    </w:p>
    <w:p>
      <w:pPr>
        <w:adjustRightInd w:val="0"/>
        <w:snapToGrid w:val="0"/>
        <w:spacing w:line="360" w:lineRule="auto"/>
        <w:ind w:firstLine="630" w:firstLineChars="300"/>
        <w:rPr>
          <w:rFonts w:ascii="宋体" w:hAnsi="宋体"/>
          <w:szCs w:val="21"/>
        </w:rPr>
      </w:pPr>
      <w:r>
        <w:rPr>
          <w:rFonts w:hint="eastAsia" w:ascii="宋体" w:hAnsi="宋体"/>
          <w:szCs w:val="21"/>
        </w:rPr>
        <w:t>5）中国合格评定国家认可委员会颁发的CNAS检验机构认可证书；</w:t>
      </w:r>
    </w:p>
    <w:p>
      <w:pPr>
        <w:adjustRightInd w:val="0"/>
        <w:snapToGrid w:val="0"/>
        <w:spacing w:line="360" w:lineRule="auto"/>
        <w:ind w:firstLine="630" w:firstLineChars="300"/>
        <w:rPr>
          <w:rFonts w:ascii="宋体" w:hAnsi="宋体"/>
          <w:szCs w:val="21"/>
        </w:rPr>
      </w:pPr>
      <w:r>
        <w:rPr>
          <w:rFonts w:hint="eastAsia" w:ascii="宋体" w:hAnsi="宋体"/>
          <w:szCs w:val="21"/>
        </w:rPr>
        <w:t>6）具有省级检验检测机构资质认定政数证书（CMA证书）；</w:t>
      </w:r>
    </w:p>
    <w:p>
      <w:pPr>
        <w:pStyle w:val="2"/>
      </w:pPr>
      <w:r>
        <w:rPr>
          <w:rFonts w:hint="eastAsia"/>
        </w:rPr>
        <w:t xml:space="preserve"> </w:t>
      </w:r>
      <w:r>
        <w:t xml:space="preserve"> 7</w:t>
      </w:r>
      <w:r>
        <w:rPr>
          <w:rFonts w:hint="eastAsia"/>
        </w:rPr>
        <w:t>）</w:t>
      </w:r>
      <w:r>
        <w:rPr>
          <w:rFonts w:hint="eastAsia" w:ascii="宋体" w:hAnsi="宋体"/>
          <w:szCs w:val="21"/>
        </w:rPr>
        <w:t>具有计算机软件著作权登记证书的网络安全等级保护测评管理系统；</w:t>
      </w:r>
    </w:p>
    <w:p>
      <w:pPr>
        <w:pStyle w:val="2"/>
      </w:pPr>
    </w:p>
    <w:p>
      <w:pPr>
        <w:adjustRightInd w:val="0"/>
        <w:snapToGrid w:val="0"/>
        <w:spacing w:line="360" w:lineRule="auto"/>
        <w:ind w:firstLine="420" w:firstLineChars="200"/>
        <w:rPr>
          <w:rFonts w:ascii="宋体" w:hAnsi="宋体"/>
          <w:szCs w:val="21"/>
        </w:rPr>
      </w:pPr>
      <w:r>
        <w:rPr>
          <w:rFonts w:ascii="宋体" w:hAnsi="宋体"/>
          <w:szCs w:val="21"/>
        </w:rPr>
        <w:t xml:space="preserve">6.2 </w:t>
      </w:r>
      <w:r>
        <w:rPr>
          <w:rFonts w:hint="eastAsia" w:ascii="宋体" w:hAnsi="宋体"/>
          <w:szCs w:val="21"/>
        </w:rPr>
        <w:t>服务人员资质要求</w:t>
      </w:r>
    </w:p>
    <w:p>
      <w:pPr>
        <w:adjustRightInd w:val="0"/>
        <w:snapToGrid w:val="0"/>
        <w:spacing w:line="360" w:lineRule="auto"/>
        <w:ind w:firstLine="630" w:firstLineChars="300"/>
        <w:rPr>
          <w:rFonts w:ascii="宋体" w:hAnsi="宋体"/>
          <w:szCs w:val="21"/>
        </w:rPr>
      </w:pPr>
      <w:r>
        <w:rPr>
          <w:rFonts w:hint="eastAsia" w:ascii="宋体" w:hAnsi="宋体"/>
          <w:szCs w:val="21"/>
        </w:rPr>
        <w:t>1）项目经理资质：高级工程师、信息系统监理师、高级网络信息安全工程师、ITIL v3认证、ISMS审核员；</w:t>
      </w:r>
    </w:p>
    <w:p>
      <w:pPr>
        <w:adjustRightInd w:val="0"/>
        <w:snapToGrid w:val="0"/>
        <w:spacing w:line="360" w:lineRule="auto"/>
        <w:ind w:firstLine="630" w:firstLineChars="300"/>
        <w:rPr>
          <w:rFonts w:ascii="宋体" w:hAnsi="宋体"/>
          <w:szCs w:val="21"/>
        </w:rPr>
      </w:pPr>
      <w:r>
        <w:rPr>
          <w:rFonts w:hint="eastAsia" w:ascii="宋体" w:hAnsi="宋体"/>
          <w:szCs w:val="21"/>
        </w:rPr>
        <w:t>2）项目实施人员资质：高级信息安全等级测评师、信息安全专业人员证书（即 CISP 证书）、注册渗透测试工程师资质证书（CISP-PTE）、工业互联网安全评估工程师；</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7、测评成果要求</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测评方须完成本项目五个信息系统的等级保护测评工作，并协助完成信息系统的定级备案；须交付完整的《整改问题清单》或《风险梳理报告》、《网络安全等级保护测评报告》等测评备案过程中所要求的输出文件资料。</w:t>
      </w:r>
    </w:p>
    <w:p>
      <w:pPr>
        <w:adjustRightInd w:val="0"/>
        <w:snapToGrid w:val="0"/>
        <w:spacing w:line="360" w:lineRule="auto"/>
        <w:ind w:firstLine="422" w:firstLineChars="200"/>
        <w:rPr>
          <w:rFonts w:ascii="宋体" w:hAnsi="宋体"/>
          <w:b/>
          <w:color w:val="000000"/>
          <w:szCs w:val="21"/>
        </w:rPr>
      </w:pPr>
      <w:bookmarkStart w:id="7" w:name="_Toc2547"/>
      <w:r>
        <w:rPr>
          <w:rFonts w:hint="eastAsia" w:ascii="宋体" w:hAnsi="宋体"/>
          <w:b/>
          <w:color w:val="000000"/>
          <w:szCs w:val="21"/>
        </w:rPr>
        <w:t>六、项目依据</w:t>
      </w:r>
      <w:bookmarkEnd w:id="7"/>
      <w:r>
        <w:rPr>
          <w:rFonts w:hint="eastAsia" w:ascii="宋体" w:hAnsi="宋体"/>
          <w:b/>
          <w:color w:val="000000"/>
          <w:szCs w:val="21"/>
        </w:rPr>
        <w:t>遵循的政策法规及行业规范</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《中华人民共和国计算机信息系统安全保护条例》（国务院 147 号令）</w:t>
      </w:r>
    </w:p>
    <w:p>
      <w:pPr>
        <w:pStyle w:val="2"/>
        <w:spacing w:line="360" w:lineRule="auto"/>
        <w:rPr>
          <w:rFonts w:ascii="宋体" w:hAnsi="宋体" w:cs="宋体"/>
          <w:bCs/>
          <w:szCs w:val="21"/>
        </w:rPr>
      </w:pPr>
      <w:r>
        <w:rPr>
          <w:rFonts w:hint="eastAsia" w:ascii="宋体" w:hAnsi="宋体" w:cs="宋体"/>
          <w:bCs/>
          <w:szCs w:val="21"/>
        </w:rPr>
        <w:t>《中华人民共和国网络安全法》</w:t>
      </w:r>
    </w:p>
    <w:p>
      <w:pPr>
        <w:pStyle w:val="2"/>
        <w:spacing w:line="360" w:lineRule="auto"/>
        <w:rPr>
          <w:rFonts w:ascii="宋体" w:hAnsi="宋体" w:cs="宋体"/>
          <w:bCs/>
          <w:szCs w:val="21"/>
        </w:rPr>
      </w:pPr>
      <w:r>
        <w:rPr>
          <w:rFonts w:hint="eastAsia" w:ascii="宋体" w:hAnsi="宋体" w:cs="宋体"/>
          <w:bCs/>
          <w:szCs w:val="21"/>
        </w:rPr>
        <w:t>《计算机信息系统安全保护等级划分准则》（GB17859-1999）</w:t>
      </w:r>
    </w:p>
    <w:p>
      <w:pPr>
        <w:pStyle w:val="2"/>
        <w:spacing w:line="360" w:lineRule="auto"/>
        <w:rPr>
          <w:rFonts w:ascii="宋体" w:hAnsi="宋体" w:cs="宋体"/>
          <w:bCs/>
          <w:szCs w:val="21"/>
        </w:rPr>
      </w:pPr>
      <w:r>
        <w:rPr>
          <w:rFonts w:hint="eastAsia" w:ascii="宋体" w:hAnsi="宋体" w:cs="宋体"/>
          <w:bCs/>
          <w:szCs w:val="21"/>
        </w:rPr>
        <w:t>《信息安全技术 网络安全等级保护基本要求》（GB/T22239—2019）</w:t>
      </w:r>
    </w:p>
    <w:p>
      <w:pPr>
        <w:pStyle w:val="2"/>
        <w:spacing w:line="360" w:lineRule="auto"/>
        <w:rPr>
          <w:rFonts w:ascii="宋体" w:hAnsi="宋体" w:cs="宋体"/>
          <w:bCs/>
          <w:szCs w:val="21"/>
        </w:rPr>
      </w:pPr>
      <w:r>
        <w:rPr>
          <w:rFonts w:hint="eastAsia" w:ascii="宋体" w:hAnsi="宋体" w:cs="宋体"/>
          <w:bCs/>
          <w:szCs w:val="21"/>
        </w:rPr>
        <w:t>《信息安全技术 网络安全等级保护定级指南》（GB/T 22240-2020）</w:t>
      </w:r>
    </w:p>
    <w:p>
      <w:pPr>
        <w:pStyle w:val="2"/>
        <w:spacing w:line="360" w:lineRule="auto"/>
        <w:rPr>
          <w:rFonts w:ascii="宋体" w:hAnsi="宋体" w:cs="宋体"/>
          <w:bCs/>
          <w:szCs w:val="21"/>
        </w:rPr>
      </w:pPr>
      <w:r>
        <w:rPr>
          <w:rFonts w:hint="eastAsia" w:ascii="宋体" w:hAnsi="宋体" w:cs="宋体"/>
          <w:bCs/>
          <w:szCs w:val="21"/>
        </w:rPr>
        <w:t>《信息系统等级保护安全设计技术要求》（GB/T25070-2019）</w:t>
      </w:r>
    </w:p>
    <w:p>
      <w:pPr>
        <w:pStyle w:val="2"/>
        <w:spacing w:line="360" w:lineRule="auto"/>
        <w:rPr>
          <w:rFonts w:ascii="宋体" w:hAnsi="宋体" w:cs="宋体"/>
          <w:bCs/>
          <w:szCs w:val="21"/>
        </w:rPr>
      </w:pPr>
      <w:r>
        <w:rPr>
          <w:rFonts w:hint="eastAsia" w:ascii="宋体" w:hAnsi="宋体" w:cs="宋体"/>
          <w:bCs/>
          <w:szCs w:val="21"/>
        </w:rPr>
        <w:t>《信息安全等级保护实施指南》（GB/T 25058-2019）</w:t>
      </w:r>
    </w:p>
    <w:p>
      <w:pPr>
        <w:pStyle w:val="2"/>
        <w:spacing w:line="360" w:lineRule="auto"/>
        <w:rPr>
          <w:rFonts w:ascii="宋体" w:hAnsi="宋体" w:cs="宋体"/>
          <w:bCs/>
          <w:szCs w:val="21"/>
        </w:rPr>
      </w:pPr>
      <w:r>
        <w:rPr>
          <w:rFonts w:hint="eastAsia" w:ascii="宋体" w:hAnsi="宋体" w:cs="宋体"/>
          <w:bCs/>
          <w:szCs w:val="21"/>
        </w:rPr>
        <w:t>《信息系统安全等级保护测评准则》（GB/T 28448-2019）</w:t>
      </w:r>
    </w:p>
    <w:p>
      <w:pPr>
        <w:pStyle w:val="2"/>
        <w:spacing w:line="360" w:lineRule="auto"/>
        <w:rPr>
          <w:rFonts w:ascii="宋体" w:hAnsi="宋体" w:cs="宋体"/>
          <w:bCs/>
          <w:szCs w:val="21"/>
        </w:rPr>
      </w:pPr>
      <w:r>
        <w:rPr>
          <w:rFonts w:hint="eastAsia" w:ascii="宋体" w:hAnsi="宋体" w:cs="宋体"/>
          <w:bCs/>
          <w:szCs w:val="21"/>
        </w:rPr>
        <w:t>《信息安全技术 信息系统通用安全技术要求》（GB/T20271-2006）</w:t>
      </w:r>
    </w:p>
    <w:p>
      <w:pPr>
        <w:pStyle w:val="2"/>
        <w:spacing w:line="360" w:lineRule="auto"/>
        <w:rPr>
          <w:rFonts w:ascii="宋体" w:hAnsi="宋体" w:cs="宋体"/>
          <w:bCs/>
          <w:szCs w:val="21"/>
        </w:rPr>
      </w:pPr>
      <w:r>
        <w:rPr>
          <w:rFonts w:hint="eastAsia" w:ascii="宋体" w:hAnsi="宋体" w:cs="宋体"/>
          <w:bCs/>
          <w:szCs w:val="21"/>
        </w:rPr>
        <w:t>《信息安全技术 网络基础安全技术要求》（GB/T20270-2006）</w:t>
      </w:r>
    </w:p>
    <w:p>
      <w:pPr>
        <w:pStyle w:val="2"/>
        <w:spacing w:line="360" w:lineRule="auto"/>
        <w:rPr>
          <w:rFonts w:ascii="宋体" w:hAnsi="宋体" w:cs="宋体"/>
          <w:bCs/>
          <w:szCs w:val="21"/>
        </w:rPr>
      </w:pPr>
      <w:r>
        <w:rPr>
          <w:rFonts w:hint="eastAsia" w:ascii="宋体" w:hAnsi="宋体" w:cs="宋体"/>
          <w:bCs/>
          <w:szCs w:val="21"/>
        </w:rPr>
        <w:t>《信息安全技术 操作系统安全技术要求》（GB/T20272-2019）</w:t>
      </w:r>
    </w:p>
    <w:p>
      <w:pPr>
        <w:pStyle w:val="2"/>
        <w:spacing w:line="360" w:lineRule="auto"/>
        <w:rPr>
          <w:rFonts w:ascii="宋体" w:hAnsi="宋体" w:cs="宋体"/>
          <w:bCs/>
          <w:szCs w:val="21"/>
        </w:rPr>
      </w:pPr>
      <w:r>
        <w:rPr>
          <w:rFonts w:hint="eastAsia" w:ascii="宋体" w:hAnsi="宋体" w:cs="宋体"/>
          <w:bCs/>
          <w:szCs w:val="21"/>
        </w:rPr>
        <w:t>《信息安全技术 数据库管理系统安全技术要求》（GB/T20273-2019）</w:t>
      </w:r>
    </w:p>
    <w:p>
      <w:pPr>
        <w:pStyle w:val="2"/>
        <w:spacing w:line="360" w:lineRule="auto"/>
        <w:rPr>
          <w:rFonts w:ascii="宋体" w:hAnsi="宋体" w:cs="宋体"/>
          <w:bCs/>
          <w:szCs w:val="21"/>
        </w:rPr>
      </w:pPr>
      <w:r>
        <w:rPr>
          <w:rFonts w:hint="eastAsia" w:ascii="宋体" w:hAnsi="宋体" w:cs="宋体"/>
          <w:bCs/>
          <w:szCs w:val="21"/>
        </w:rPr>
        <w:t>《信息安全技术 服务器技术要求》（GB/T21028-2007）</w:t>
      </w:r>
    </w:p>
    <w:p>
      <w:pPr>
        <w:pStyle w:val="2"/>
        <w:spacing w:line="360" w:lineRule="auto"/>
        <w:rPr>
          <w:rFonts w:ascii="宋体" w:hAnsi="宋体" w:cs="宋体"/>
          <w:bCs/>
          <w:szCs w:val="21"/>
        </w:rPr>
      </w:pPr>
      <w:r>
        <w:rPr>
          <w:rFonts w:hint="eastAsia" w:ascii="宋体" w:hAnsi="宋体" w:cs="宋体"/>
          <w:bCs/>
          <w:szCs w:val="21"/>
        </w:rPr>
        <w:t>《信息安全技术 终端计算机系统安全等级技术要求》（GA/T671-2006）</w:t>
      </w:r>
    </w:p>
    <w:p>
      <w:pPr>
        <w:pStyle w:val="2"/>
        <w:spacing w:line="360" w:lineRule="auto"/>
        <w:ind w:firstLineChars="200"/>
        <w:rPr>
          <w:rFonts w:ascii="宋体" w:hAnsi="宋体" w:cs="宋体"/>
          <w:bCs/>
          <w:szCs w:val="21"/>
        </w:rPr>
      </w:pPr>
      <w:r>
        <w:rPr>
          <w:rFonts w:hint="eastAsia" w:ascii="宋体" w:hAnsi="宋体" w:cs="宋体"/>
          <w:bCs/>
          <w:szCs w:val="21"/>
        </w:rPr>
        <w:t>《信息安全技术 网络安全等级保护测评过程指南》（GB/T 28449-2018）</w:t>
      </w:r>
    </w:p>
    <w:p>
      <w:pPr>
        <w:spacing w:line="360" w:lineRule="auto"/>
        <w:rPr>
          <w:rFonts w:ascii="宋体" w:hAnsi="宋体" w:cs="宋体"/>
          <w:b/>
          <w:bCs/>
          <w:color w:val="000000"/>
          <w:szCs w:val="21"/>
        </w:rPr>
      </w:pPr>
      <w:r>
        <w:rPr>
          <w:rFonts w:hint="eastAsia" w:ascii="宋体" w:hAnsi="宋体" w:cs="宋体"/>
          <w:b/>
          <w:bCs/>
          <w:color w:val="000000"/>
          <w:szCs w:val="21"/>
        </w:rPr>
        <w:t>七、</w:t>
      </w:r>
      <w:bookmarkEnd w:id="1"/>
      <w:bookmarkEnd w:id="2"/>
      <w:r>
        <w:rPr>
          <w:rFonts w:hint="eastAsia" w:ascii="宋体" w:hAnsi="宋体" w:cs="宋体"/>
          <w:b/>
          <w:bCs/>
          <w:color w:val="000000"/>
          <w:szCs w:val="21"/>
        </w:rPr>
        <w:t>项目工期要求及地点</w:t>
      </w:r>
    </w:p>
    <w:p>
      <w:pPr>
        <w:spacing w:line="339" w:lineRule="auto"/>
        <w:ind w:firstLine="420" w:firstLineChars="200"/>
        <w:rPr>
          <w:rFonts w:ascii="宋体" w:hAnsi="宋体" w:cs="宋体"/>
          <w:bCs/>
          <w:szCs w:val="21"/>
        </w:rPr>
      </w:pPr>
      <w:r>
        <w:rPr>
          <w:rFonts w:hint="eastAsia" w:ascii="宋体" w:hAnsi="宋体" w:cs="宋体"/>
          <w:bCs/>
          <w:szCs w:val="21"/>
        </w:rPr>
        <w:t>（1）完工时间：自合同签订之日起</w:t>
      </w:r>
      <w:r>
        <w:rPr>
          <w:rFonts w:hint="eastAsia" w:ascii="宋体" w:hAnsi="宋体" w:cs="宋体"/>
          <w:bCs/>
          <w:szCs w:val="21"/>
          <w:u w:val="single"/>
        </w:rPr>
        <w:t xml:space="preserve"> </w:t>
      </w:r>
      <w:r>
        <w:rPr>
          <w:rFonts w:ascii="宋体" w:hAnsi="宋体" w:cs="宋体"/>
          <w:bCs/>
          <w:szCs w:val="21"/>
          <w:u w:val="single"/>
        </w:rPr>
        <w:t>20</w:t>
      </w:r>
      <w:r>
        <w:rPr>
          <w:rFonts w:hint="eastAsia" w:ascii="宋体" w:hAnsi="宋体" w:cs="宋体"/>
          <w:bCs/>
          <w:szCs w:val="21"/>
          <w:u w:val="single"/>
        </w:rPr>
        <w:t xml:space="preserve"> </w:t>
      </w:r>
      <w:r>
        <w:rPr>
          <w:rFonts w:hint="eastAsia" w:ascii="宋体" w:hAnsi="宋体" w:cs="宋体"/>
          <w:bCs/>
          <w:szCs w:val="21"/>
        </w:rPr>
        <w:t>日内完成测评工作，整改完成后</w:t>
      </w:r>
      <w:r>
        <w:rPr>
          <w:rFonts w:hint="eastAsia" w:ascii="宋体" w:hAnsi="宋体" w:cs="宋体"/>
          <w:bCs/>
          <w:szCs w:val="21"/>
          <w:u w:val="single"/>
        </w:rPr>
        <w:t xml:space="preserve"> 2</w:t>
      </w:r>
      <w:r>
        <w:rPr>
          <w:rFonts w:ascii="宋体" w:hAnsi="宋体" w:cs="宋体"/>
          <w:bCs/>
          <w:szCs w:val="21"/>
          <w:u w:val="single"/>
        </w:rPr>
        <w:t xml:space="preserve">0 </w:t>
      </w:r>
      <w:r>
        <w:rPr>
          <w:rFonts w:hint="eastAsia" w:ascii="宋体" w:hAnsi="宋体" w:cs="宋体"/>
          <w:bCs/>
          <w:szCs w:val="21"/>
        </w:rPr>
        <w:t>日内提交测评报告。</w:t>
      </w:r>
    </w:p>
    <w:p>
      <w:pPr>
        <w:spacing w:line="339" w:lineRule="auto"/>
        <w:ind w:firstLine="420" w:firstLineChars="200"/>
        <w:rPr>
          <w:rFonts w:ascii="宋体" w:hAnsi="宋体" w:cs="宋体"/>
          <w:bCs/>
          <w:szCs w:val="21"/>
        </w:rPr>
      </w:pPr>
      <w:r>
        <w:rPr>
          <w:rFonts w:hint="eastAsia" w:ascii="宋体" w:hAnsi="宋体" w:cs="宋体"/>
          <w:bCs/>
          <w:szCs w:val="21"/>
        </w:rPr>
        <w:t>（2）完工地点：采购人指定地点。</w:t>
      </w:r>
    </w:p>
    <w:p>
      <w:pPr>
        <w:spacing w:line="360" w:lineRule="auto"/>
        <w:rPr>
          <w:rFonts w:ascii="宋体" w:hAnsi="宋体" w:cs="宋体"/>
          <w:b/>
          <w:bCs/>
          <w:color w:val="auto"/>
          <w:szCs w:val="21"/>
        </w:rPr>
      </w:pPr>
      <w:r>
        <w:rPr>
          <w:rFonts w:hint="eastAsia" w:ascii="宋体" w:hAnsi="宋体" w:cs="宋体"/>
          <w:b/>
          <w:bCs/>
          <w:color w:val="000000"/>
          <w:szCs w:val="21"/>
        </w:rPr>
        <w:t>八、付款方式</w:t>
      </w:r>
    </w:p>
    <w:p>
      <w:pPr>
        <w:spacing w:line="339" w:lineRule="auto"/>
        <w:ind w:firstLine="420" w:firstLineChars="200"/>
        <w:rPr>
          <w:rFonts w:ascii="宋体" w:hAnsi="宋体" w:cs="宋体"/>
          <w:bCs/>
          <w:color w:val="auto"/>
          <w:szCs w:val="21"/>
        </w:rPr>
      </w:pPr>
      <w:r>
        <w:rPr>
          <w:rFonts w:hint="eastAsia" w:ascii="宋体" w:hAnsi="宋体" w:cs="宋体"/>
          <w:bCs/>
          <w:color w:val="auto"/>
          <w:szCs w:val="21"/>
        </w:rPr>
        <w:t>1、合同签订后支付合同金额50%款项；</w:t>
      </w:r>
    </w:p>
    <w:p>
      <w:pPr>
        <w:spacing w:line="339" w:lineRule="auto"/>
        <w:ind w:firstLine="420" w:firstLineChars="200"/>
        <w:rPr>
          <w:rFonts w:ascii="宋体" w:hAnsi="宋体" w:cs="宋体"/>
          <w:bCs/>
          <w:color w:val="auto"/>
          <w:szCs w:val="21"/>
        </w:rPr>
      </w:pPr>
      <w:r>
        <w:rPr>
          <w:rFonts w:hint="eastAsia" w:ascii="宋体" w:hAnsi="宋体" w:cs="宋体"/>
          <w:bCs/>
          <w:color w:val="auto"/>
          <w:szCs w:val="21"/>
        </w:rPr>
        <w:t>2、完成网络安全等级保护测评工作，并经采购人审核确认后，支付合同金额的50%款。</w:t>
      </w:r>
    </w:p>
    <w:p>
      <w:pPr>
        <w:spacing w:line="360" w:lineRule="auto"/>
        <w:rPr>
          <w:rFonts w:ascii="宋体" w:hAnsi="宋体" w:cs="宋体"/>
          <w:b/>
          <w:bCs/>
          <w:color w:val="auto"/>
          <w:szCs w:val="21"/>
        </w:rPr>
      </w:pPr>
      <w:r>
        <w:rPr>
          <w:rFonts w:hint="eastAsia" w:ascii="宋体" w:hAnsi="宋体" w:cs="宋体"/>
          <w:b/>
          <w:bCs/>
          <w:color w:val="auto"/>
          <w:szCs w:val="21"/>
        </w:rPr>
        <w:t>九、合同期限及售后服务</w:t>
      </w:r>
    </w:p>
    <w:p>
      <w:pPr>
        <w:spacing w:line="339" w:lineRule="auto"/>
        <w:ind w:firstLine="420" w:firstLineChars="200"/>
        <w:rPr>
          <w:rFonts w:ascii="宋体" w:hAnsi="宋体" w:cs="宋体"/>
          <w:bCs/>
          <w:szCs w:val="21"/>
        </w:rPr>
      </w:pPr>
      <w:r>
        <w:rPr>
          <w:rFonts w:hint="eastAsia" w:ascii="宋体" w:hAnsi="宋体" w:cs="宋体"/>
          <w:bCs/>
          <w:szCs w:val="21"/>
        </w:rPr>
        <w:t>1、合同期限：一年</w:t>
      </w:r>
    </w:p>
    <w:p>
      <w:pPr>
        <w:spacing w:line="339" w:lineRule="auto"/>
        <w:ind w:firstLine="420" w:firstLineChars="200"/>
        <w:rPr>
          <w:rFonts w:ascii="宋体" w:hAnsi="宋体" w:cs="宋体"/>
          <w:bCs/>
          <w:szCs w:val="21"/>
        </w:rPr>
      </w:pPr>
      <w:r>
        <w:rPr>
          <w:rFonts w:hint="eastAsia" w:ascii="宋体" w:hAnsi="宋体" w:cs="宋体"/>
          <w:bCs/>
          <w:szCs w:val="21"/>
        </w:rPr>
        <w:t>2、中标人须在合同期内，提供相关系统整改指导服务。</w:t>
      </w:r>
      <w:bookmarkStart w:id="8" w:name="_GoBack"/>
      <w:bookmarkEnd w:id="8"/>
    </w:p>
    <w:p>
      <w:pPr>
        <w:pStyle w:val="2"/>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CC"/>
    <w:rsid w:val="00001FF6"/>
    <w:rsid w:val="00006F86"/>
    <w:rsid w:val="000225CA"/>
    <w:rsid w:val="00072762"/>
    <w:rsid w:val="00073C3F"/>
    <w:rsid w:val="000958BA"/>
    <w:rsid w:val="000B46A2"/>
    <w:rsid w:val="000C1705"/>
    <w:rsid w:val="000E119C"/>
    <w:rsid w:val="000F24BA"/>
    <w:rsid w:val="000F6D4A"/>
    <w:rsid w:val="00163A15"/>
    <w:rsid w:val="00171054"/>
    <w:rsid w:val="001728C1"/>
    <w:rsid w:val="001A7853"/>
    <w:rsid w:val="001B0273"/>
    <w:rsid w:val="00200CDA"/>
    <w:rsid w:val="0021539B"/>
    <w:rsid w:val="00233A7E"/>
    <w:rsid w:val="00271374"/>
    <w:rsid w:val="00273ACF"/>
    <w:rsid w:val="00283251"/>
    <w:rsid w:val="0029559A"/>
    <w:rsid w:val="002A54D1"/>
    <w:rsid w:val="002B573D"/>
    <w:rsid w:val="002B6E7B"/>
    <w:rsid w:val="002C431C"/>
    <w:rsid w:val="002C7BCB"/>
    <w:rsid w:val="002C7DB0"/>
    <w:rsid w:val="00316BD3"/>
    <w:rsid w:val="003609FE"/>
    <w:rsid w:val="00381378"/>
    <w:rsid w:val="00385ECC"/>
    <w:rsid w:val="00387CA2"/>
    <w:rsid w:val="003909F7"/>
    <w:rsid w:val="003D78A9"/>
    <w:rsid w:val="003E1449"/>
    <w:rsid w:val="003E651F"/>
    <w:rsid w:val="003F5C6A"/>
    <w:rsid w:val="0041337F"/>
    <w:rsid w:val="004151A3"/>
    <w:rsid w:val="0041762E"/>
    <w:rsid w:val="00424C47"/>
    <w:rsid w:val="0044265D"/>
    <w:rsid w:val="00462156"/>
    <w:rsid w:val="0046394A"/>
    <w:rsid w:val="00463BCA"/>
    <w:rsid w:val="004670BD"/>
    <w:rsid w:val="00472960"/>
    <w:rsid w:val="00474BF8"/>
    <w:rsid w:val="00480C73"/>
    <w:rsid w:val="00487316"/>
    <w:rsid w:val="00491574"/>
    <w:rsid w:val="004B7508"/>
    <w:rsid w:val="004C0D06"/>
    <w:rsid w:val="005326F0"/>
    <w:rsid w:val="00533A6A"/>
    <w:rsid w:val="00560630"/>
    <w:rsid w:val="005675A0"/>
    <w:rsid w:val="00576567"/>
    <w:rsid w:val="005C2615"/>
    <w:rsid w:val="005E3DA8"/>
    <w:rsid w:val="00603EA7"/>
    <w:rsid w:val="00605C5D"/>
    <w:rsid w:val="0063687C"/>
    <w:rsid w:val="00642AC3"/>
    <w:rsid w:val="006B2C0A"/>
    <w:rsid w:val="006D22B1"/>
    <w:rsid w:val="006D4A45"/>
    <w:rsid w:val="006D5B8F"/>
    <w:rsid w:val="006E2403"/>
    <w:rsid w:val="006E569F"/>
    <w:rsid w:val="00712D0D"/>
    <w:rsid w:val="00721D55"/>
    <w:rsid w:val="007249D9"/>
    <w:rsid w:val="007336C5"/>
    <w:rsid w:val="007339C4"/>
    <w:rsid w:val="00754F60"/>
    <w:rsid w:val="007648B5"/>
    <w:rsid w:val="007924B4"/>
    <w:rsid w:val="00821D67"/>
    <w:rsid w:val="00824D93"/>
    <w:rsid w:val="00890940"/>
    <w:rsid w:val="008A1995"/>
    <w:rsid w:val="008C1C61"/>
    <w:rsid w:val="008C608D"/>
    <w:rsid w:val="009018FF"/>
    <w:rsid w:val="00924F82"/>
    <w:rsid w:val="00931512"/>
    <w:rsid w:val="00936E6F"/>
    <w:rsid w:val="009417F7"/>
    <w:rsid w:val="009942FF"/>
    <w:rsid w:val="009A5747"/>
    <w:rsid w:val="009B47F8"/>
    <w:rsid w:val="00A22310"/>
    <w:rsid w:val="00A44ABF"/>
    <w:rsid w:val="00A466E2"/>
    <w:rsid w:val="00A8647B"/>
    <w:rsid w:val="00A86DFE"/>
    <w:rsid w:val="00AB5170"/>
    <w:rsid w:val="00AE2F05"/>
    <w:rsid w:val="00B0370E"/>
    <w:rsid w:val="00B46105"/>
    <w:rsid w:val="00B547A7"/>
    <w:rsid w:val="00B624B1"/>
    <w:rsid w:val="00B678DC"/>
    <w:rsid w:val="00BA77A3"/>
    <w:rsid w:val="00BD4D76"/>
    <w:rsid w:val="00BE224A"/>
    <w:rsid w:val="00BE5925"/>
    <w:rsid w:val="00BF25A2"/>
    <w:rsid w:val="00BF2B20"/>
    <w:rsid w:val="00C14900"/>
    <w:rsid w:val="00C17696"/>
    <w:rsid w:val="00C32AB0"/>
    <w:rsid w:val="00C53A36"/>
    <w:rsid w:val="00C63A39"/>
    <w:rsid w:val="00C973FF"/>
    <w:rsid w:val="00CA15F1"/>
    <w:rsid w:val="00CD177E"/>
    <w:rsid w:val="00CE0DE3"/>
    <w:rsid w:val="00CE4C8C"/>
    <w:rsid w:val="00CF473C"/>
    <w:rsid w:val="00D0112D"/>
    <w:rsid w:val="00D2435E"/>
    <w:rsid w:val="00D7179C"/>
    <w:rsid w:val="00D77CB3"/>
    <w:rsid w:val="00D85A91"/>
    <w:rsid w:val="00D94CD5"/>
    <w:rsid w:val="00DD762A"/>
    <w:rsid w:val="00DF0366"/>
    <w:rsid w:val="00DF5F11"/>
    <w:rsid w:val="00E0505D"/>
    <w:rsid w:val="00E2276F"/>
    <w:rsid w:val="00E26577"/>
    <w:rsid w:val="00E5764C"/>
    <w:rsid w:val="00E70065"/>
    <w:rsid w:val="00EB6BC4"/>
    <w:rsid w:val="00EC6D96"/>
    <w:rsid w:val="00EE620F"/>
    <w:rsid w:val="00EF2AC9"/>
    <w:rsid w:val="00F77265"/>
    <w:rsid w:val="00F96CEC"/>
    <w:rsid w:val="00FA5437"/>
    <w:rsid w:val="00FB2F61"/>
    <w:rsid w:val="00FB7F9F"/>
    <w:rsid w:val="00FC2A3E"/>
    <w:rsid w:val="00FE42CE"/>
    <w:rsid w:val="19CC07EA"/>
    <w:rsid w:val="2097409F"/>
    <w:rsid w:val="22D77429"/>
    <w:rsid w:val="2C39204C"/>
    <w:rsid w:val="4A9C1F0D"/>
    <w:rsid w:val="5F42511F"/>
    <w:rsid w:val="60B50DE4"/>
    <w:rsid w:val="6F846CDA"/>
    <w:rsid w:val="7B29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ind w:firstLine="525"/>
      <w:outlineLvl w:val="0"/>
    </w:pPr>
    <w:rPr>
      <w:b/>
      <w:kern w:val="44"/>
      <w:sz w:val="28"/>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5"/>
    <w:qFormat/>
    <w:uiPriority w:val="0"/>
    <w:pPr>
      <w:ind w:firstLine="420"/>
    </w:pPr>
    <w:rPr>
      <w:rFonts w:asciiTheme="minorHAnsi" w:hAnsiTheme="minorHAnsi" w:cstheme="minorBidi"/>
      <w:szCs w:val="22"/>
    </w:rPr>
  </w:style>
  <w:style w:type="paragraph" w:styleId="4">
    <w:name w:val="annotation text"/>
    <w:basedOn w:val="1"/>
    <w:link w:val="19"/>
    <w:semiHidden/>
    <w:unhideWhenUsed/>
    <w:qFormat/>
    <w:uiPriority w:val="99"/>
    <w:pPr>
      <w:jc w:val="left"/>
    </w:pPr>
  </w:style>
  <w:style w:type="paragraph" w:styleId="5">
    <w:name w:val="List 2"/>
    <w:basedOn w:val="1"/>
    <w:semiHidden/>
    <w:unhideWhenUsed/>
    <w:qFormat/>
    <w:uiPriority w:val="99"/>
    <w:pPr>
      <w:spacing w:line="360" w:lineRule="auto"/>
      <w:ind w:left="100" w:leftChars="200" w:hanging="200" w:hangingChars="200"/>
      <w:contextualSpacing/>
    </w:pPr>
    <w:rPr>
      <w:rFonts w:ascii="Calibri" w:hAnsi="Calibri"/>
      <w:sz w:val="24"/>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uiPriority w:val="99"/>
    <w:rPr>
      <w:b/>
      <w:bCs/>
    </w:rPr>
  </w:style>
  <w:style w:type="character" w:styleId="12">
    <w:name w:val="annotation reference"/>
    <w:basedOn w:val="11"/>
    <w:semiHidden/>
    <w:unhideWhenUsed/>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uiPriority w:val="99"/>
    <w:rPr>
      <w:sz w:val="18"/>
      <w:szCs w:val="18"/>
    </w:rPr>
  </w:style>
  <w:style w:type="character" w:customStyle="1" w:styleId="15">
    <w:name w:val="正文缩进 Char"/>
    <w:link w:val="2"/>
    <w:uiPriority w:val="0"/>
    <w:rPr>
      <w:rFonts w:eastAsia="宋体"/>
    </w:rPr>
  </w:style>
  <w:style w:type="paragraph" w:customStyle="1" w:styleId="16">
    <w:name w:val="Char Char Char Char Char Char Char"/>
    <w:basedOn w:val="1"/>
    <w:qFormat/>
    <w:uiPriority w:val="0"/>
    <w:pPr>
      <w:tabs>
        <w:tab w:val="left" w:pos="432"/>
      </w:tabs>
      <w:ind w:left="432" w:hanging="432"/>
    </w:pPr>
  </w:style>
  <w:style w:type="paragraph" w:customStyle="1" w:styleId="17">
    <w:name w:val="招标文件样式2"/>
    <w:basedOn w:val="1"/>
    <w:qFormat/>
    <w:uiPriority w:val="0"/>
    <w:pPr>
      <w:jc w:val="center"/>
      <w:outlineLvl w:val="0"/>
    </w:pPr>
    <w:rPr>
      <w:rFonts w:ascii="宋体" w:hAnsi="宋体"/>
      <w:b/>
      <w:sz w:val="28"/>
      <w:szCs w:val="28"/>
    </w:rPr>
  </w:style>
  <w:style w:type="character" w:customStyle="1" w:styleId="18">
    <w:name w:val="标题 1 Char"/>
    <w:basedOn w:val="11"/>
    <w:link w:val="3"/>
    <w:qFormat/>
    <w:uiPriority w:val="0"/>
    <w:rPr>
      <w:rFonts w:ascii="Times New Roman" w:hAnsi="Times New Roman" w:eastAsia="宋体" w:cs="Times New Roman"/>
      <w:b/>
      <w:kern w:val="44"/>
      <w:sz w:val="28"/>
      <w:szCs w:val="20"/>
    </w:rPr>
  </w:style>
  <w:style w:type="character" w:customStyle="1" w:styleId="19">
    <w:name w:val="批注文字 Char"/>
    <w:basedOn w:val="11"/>
    <w:link w:val="4"/>
    <w:semiHidden/>
    <w:uiPriority w:val="99"/>
    <w:rPr>
      <w:rFonts w:ascii="Times New Roman" w:hAnsi="Times New Roman" w:eastAsia="宋体" w:cs="Times New Roman"/>
      <w:kern w:val="2"/>
      <w:sz w:val="21"/>
      <w:szCs w:val="24"/>
    </w:rPr>
  </w:style>
  <w:style w:type="character" w:customStyle="1" w:styleId="20">
    <w:name w:val="批注主题 Char"/>
    <w:basedOn w:val="19"/>
    <w:link w:val="9"/>
    <w:semiHidden/>
    <w:uiPriority w:val="99"/>
    <w:rPr>
      <w:rFonts w:ascii="Times New Roman" w:hAnsi="Times New Roman" w:eastAsia="宋体" w:cs="Times New Roman"/>
      <w:b/>
      <w:bCs/>
      <w:kern w:val="2"/>
      <w:sz w:val="21"/>
      <w:szCs w:val="24"/>
    </w:rPr>
  </w:style>
  <w:style w:type="character" w:customStyle="1" w:styleId="21">
    <w:name w:val="批注框文本 Char"/>
    <w:basedOn w:val="11"/>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1F611-927A-4265-9482-3B589A6DB5F4}">
  <ds:schemaRefs/>
</ds:datastoreItem>
</file>

<file path=customXml/itemProps3.xml><?xml version="1.0" encoding="utf-8"?>
<ds:datastoreItem xmlns:ds="http://schemas.openxmlformats.org/officeDocument/2006/customXml" ds:itemID="{322B18B2-D70E-4753-BF1C-0EA27AE63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661</Words>
  <Characters>3768</Characters>
  <Lines>31</Lines>
  <Paragraphs>8</Paragraphs>
  <TotalTime>155</TotalTime>
  <ScaleCrop>false</ScaleCrop>
  <LinksUpToDate>false</LinksUpToDate>
  <CharactersWithSpaces>4421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2022-02-25T02:05:00Z</dcterms:created>
  <dc:creator>管理员</dc:creator>
  <cp:lastModifiedBy>Aear</cp:lastModifiedBy>
  <dcterms:modified xsi:type="dcterms:W3CDTF">2025-08-05T07:31:36Z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